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6A" w:rsidRPr="0094086A" w:rsidRDefault="0094086A" w:rsidP="0094086A">
      <w:pPr>
        <w:tabs>
          <w:tab w:val="left" w:pos="10490"/>
        </w:tabs>
        <w:ind w:left="10206"/>
        <w:jc w:val="both"/>
        <w:rPr>
          <w:rFonts w:ascii="Times New Roman" w:eastAsia="Times New Roman" w:hAnsi="Times New Roman" w:cs="Times New Roman"/>
          <w:lang w:eastAsia="ru-RU"/>
        </w:rPr>
      </w:pPr>
      <w:r w:rsidRPr="0094086A">
        <w:rPr>
          <w:rFonts w:ascii="Times New Roman" w:eastAsia="Times New Roman" w:hAnsi="Times New Roman" w:cs="Times New Roman"/>
          <w:lang w:eastAsia="ru-RU"/>
        </w:rPr>
        <w:t xml:space="preserve">Додаток 2 </w:t>
      </w:r>
    </w:p>
    <w:p w:rsidR="0094086A" w:rsidRPr="0094086A" w:rsidRDefault="0094086A" w:rsidP="0094086A">
      <w:pPr>
        <w:tabs>
          <w:tab w:val="left" w:pos="10490"/>
        </w:tabs>
        <w:ind w:left="10206"/>
        <w:jc w:val="both"/>
        <w:rPr>
          <w:rFonts w:ascii="Times New Roman" w:eastAsia="Times New Roman" w:hAnsi="Times New Roman" w:cs="Times New Roman"/>
          <w:lang w:eastAsia="ru-RU"/>
        </w:rPr>
      </w:pPr>
      <w:r w:rsidRPr="0094086A">
        <w:rPr>
          <w:rFonts w:ascii="Times New Roman" w:eastAsia="Times New Roman" w:hAnsi="Times New Roman" w:cs="Times New Roman"/>
          <w:lang w:eastAsia="ru-RU"/>
        </w:rPr>
        <w:t>до рішення виконавчого комітету</w:t>
      </w:r>
    </w:p>
    <w:p w:rsidR="0094086A" w:rsidRPr="0094086A" w:rsidRDefault="0094086A" w:rsidP="0094086A">
      <w:pPr>
        <w:tabs>
          <w:tab w:val="left" w:pos="10490"/>
        </w:tabs>
        <w:ind w:left="10206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4086A">
        <w:rPr>
          <w:rFonts w:ascii="Times New Roman" w:eastAsia="Times New Roman" w:hAnsi="Times New Roman" w:cs="Times New Roman"/>
          <w:lang w:eastAsia="ru-RU"/>
        </w:rPr>
        <w:t>від 24 листопада</w:t>
      </w:r>
      <w:r w:rsidRPr="0094086A">
        <w:rPr>
          <w:rFonts w:ascii="Times New Roman" w:eastAsia="Times New Roman" w:hAnsi="Times New Roman" w:cs="Times New Roman"/>
          <w:lang w:val="ru-RU" w:eastAsia="ru-RU"/>
        </w:rPr>
        <w:t xml:space="preserve"> 2022 року №</w:t>
      </w:r>
    </w:p>
    <w:p w:rsidR="0094086A" w:rsidRDefault="0094086A">
      <w:pPr>
        <w:spacing w:before="92" w:line="228" w:lineRule="auto"/>
        <w:ind w:right="-89"/>
        <w:jc w:val="center"/>
        <w:rPr>
          <w:rFonts w:hint="eastAsia"/>
          <w:b/>
          <w:lang w:val="ru-RU"/>
        </w:rPr>
      </w:pPr>
    </w:p>
    <w:p w:rsidR="009F3F4E" w:rsidRDefault="0094086A">
      <w:pPr>
        <w:spacing w:before="92" w:line="228" w:lineRule="auto"/>
        <w:ind w:right="-89"/>
        <w:jc w:val="center"/>
        <w:rPr>
          <w:rFonts w:hint="eastAsia"/>
        </w:rPr>
      </w:pPr>
      <w:r>
        <w:rPr>
          <w:b/>
        </w:rPr>
        <w:t>Базовий рівень споживання</w:t>
      </w:r>
      <w:r>
        <w:rPr>
          <w:b/>
          <w:spacing w:val="-15"/>
        </w:rPr>
        <w:t xml:space="preserve"> </w:t>
      </w:r>
      <w:r>
        <w:rPr>
          <w:b/>
        </w:rPr>
        <w:t>паливно-енергетичних ресурсів</w:t>
      </w:r>
    </w:p>
    <w:p w:rsidR="009F3F4E" w:rsidRDefault="0094086A">
      <w:pPr>
        <w:spacing w:before="4"/>
        <w:ind w:right="-89"/>
        <w:jc w:val="center"/>
        <w:rPr>
          <w:rFonts w:hint="eastAsia"/>
        </w:rPr>
      </w:pPr>
      <w:r>
        <w:rPr>
          <w:b/>
        </w:rPr>
        <w:t>будівля харчоблоку лікарняного містечка</w:t>
      </w:r>
      <w:r>
        <w:rPr>
          <w:b/>
          <w:spacing w:val="-1"/>
        </w:rPr>
        <w:t xml:space="preserve"> </w:t>
      </w:r>
      <w:r>
        <w:rPr>
          <w:b/>
          <w:color w:val="000009"/>
        </w:rPr>
        <w:t>КНП «</w:t>
      </w:r>
      <w:proofErr w:type="spellStart"/>
      <w:r>
        <w:rPr>
          <w:b/>
          <w:color w:val="000009"/>
        </w:rPr>
        <w:t>Смолінська</w:t>
      </w:r>
      <w:proofErr w:type="spellEnd"/>
      <w:r>
        <w:rPr>
          <w:b/>
          <w:color w:val="000009"/>
        </w:rPr>
        <w:t xml:space="preserve"> медико-санітарна частина» </w:t>
      </w:r>
      <w:proofErr w:type="spellStart"/>
      <w:r>
        <w:rPr>
          <w:b/>
          <w:color w:val="000009"/>
        </w:rPr>
        <w:t>Смолінської</w:t>
      </w:r>
      <w:proofErr w:type="spellEnd"/>
      <w:r>
        <w:rPr>
          <w:b/>
          <w:color w:val="000009"/>
        </w:rPr>
        <w:t xml:space="preserve"> селищної ради </w:t>
      </w:r>
    </w:p>
    <w:p w:rsidR="009F3F4E" w:rsidRDefault="009F3F4E">
      <w:pPr>
        <w:pStyle w:val="a7"/>
        <w:rPr>
          <w:rFonts w:hint="eastAsia"/>
          <w:b/>
          <w:sz w:val="20"/>
        </w:rPr>
      </w:pPr>
    </w:p>
    <w:p w:rsidR="009F3F4E" w:rsidRDefault="009F3F4E">
      <w:pPr>
        <w:pStyle w:val="a7"/>
        <w:spacing w:before="4" w:after="0"/>
        <w:rPr>
          <w:rFonts w:hint="eastAsia"/>
          <w:b/>
          <w:sz w:val="11"/>
        </w:rPr>
      </w:pPr>
    </w:p>
    <w:tbl>
      <w:tblPr>
        <w:tblW w:w="15177" w:type="dxa"/>
        <w:tblInd w:w="11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211"/>
        <w:gridCol w:w="704"/>
        <w:gridCol w:w="702"/>
        <w:gridCol w:w="706"/>
        <w:gridCol w:w="704"/>
        <w:gridCol w:w="674"/>
        <w:gridCol w:w="709"/>
        <w:gridCol w:w="709"/>
        <w:gridCol w:w="708"/>
        <w:gridCol w:w="714"/>
        <w:gridCol w:w="698"/>
        <w:gridCol w:w="707"/>
        <w:gridCol w:w="867"/>
        <w:gridCol w:w="1147"/>
        <w:gridCol w:w="990"/>
        <w:gridCol w:w="1227"/>
      </w:tblGrid>
      <w:tr w:rsidR="009F3F4E">
        <w:trPr>
          <w:trHeight w:val="3663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235" w:firstLine="331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Вид паливно-енергетичних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ресурсів (житлово-комунальних</w:t>
            </w:r>
          </w:p>
          <w:p w:rsidR="009F3F4E" w:rsidRDefault="0094086A">
            <w:pPr>
              <w:pStyle w:val="TableParagraph"/>
              <w:widowControl w:val="0"/>
              <w:spacing w:before="2"/>
              <w:ind w:left="1286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послуг)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spacing w:before="1"/>
              <w:ind w:left="1411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Січень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7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0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Лютий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7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spacing w:before="1"/>
              <w:ind w:left="1411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Березень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6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1" w:right="1407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Квітень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9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1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Травень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9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1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Червень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8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1" w:right="1407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Липень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8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1" w:right="1407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Серпень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7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spacing w:before="1"/>
              <w:ind w:left="1411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Вересень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4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1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Жовтень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4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11" w:right="1411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Листопад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F4E" w:rsidRDefault="009F3F4E">
            <w:pPr>
              <w:pStyle w:val="TableParagraph"/>
              <w:widowControl w:val="0"/>
              <w:spacing w:before="3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spacing w:before="1"/>
              <w:ind w:left="1411" w:right="1407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Грудень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30" w:right="134" w:firstLine="5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Річний базовий рівень </w:t>
            </w:r>
            <w:proofErr w:type="spellStart"/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споживан</w:t>
            </w:r>
            <w:proofErr w:type="spellEnd"/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kern w:val="0"/>
                <w:sz w:val="20"/>
                <w:szCs w:val="22"/>
                <w:lang w:eastAsia="en-US" w:bidi="ar-SA"/>
              </w:rPr>
              <w:t>ня</w:t>
            </w:r>
            <w:proofErr w:type="spellEnd"/>
            <w:r>
              <w:rPr>
                <w:kern w:val="0"/>
                <w:sz w:val="20"/>
                <w:szCs w:val="22"/>
                <w:lang w:eastAsia="en-US" w:bidi="ar-SA"/>
              </w:rPr>
              <w:t xml:space="preserve"> у </w:t>
            </w:r>
            <w:proofErr w:type="spellStart"/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натуральн</w:t>
            </w:r>
            <w:proofErr w:type="spellEnd"/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их</w:t>
            </w:r>
            <w:proofErr w:type="spellEnd"/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показника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1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15" w:right="109" w:hanging="3"/>
              <w:jc w:val="center"/>
              <w:rPr>
                <w:rFonts w:hint="eastAsia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Ціни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(тарифи)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на </w:t>
            </w:r>
            <w:proofErr w:type="spellStart"/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одниниц</w:t>
            </w:r>
            <w:proofErr w:type="spellEnd"/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ю ПЕР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(ЖКП)</w:t>
            </w:r>
          </w:p>
          <w:p w:rsidR="009F3F4E" w:rsidRDefault="0094086A">
            <w:pPr>
              <w:pStyle w:val="TableParagraph"/>
              <w:widowControl w:val="0"/>
              <w:spacing w:line="228" w:lineRule="exact"/>
              <w:ind w:left="333" w:right="331"/>
              <w:jc w:val="center"/>
              <w:rPr>
                <w:rFonts w:hint="eastAsia"/>
              </w:rPr>
            </w:pPr>
            <w:proofErr w:type="spellStart"/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грн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1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278" w:right="284" w:firstLine="48"/>
              <w:jc w:val="both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Річний базовий рівень</w:t>
            </w:r>
          </w:p>
          <w:p w:rsidR="009F3F4E" w:rsidRDefault="0094086A">
            <w:pPr>
              <w:pStyle w:val="TableParagraph"/>
              <w:widowControl w:val="0"/>
              <w:spacing w:before="1"/>
              <w:ind w:left="105" w:right="107"/>
              <w:jc w:val="center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споживання </w:t>
            </w:r>
            <w:r>
              <w:rPr>
                <w:kern w:val="0"/>
                <w:sz w:val="20"/>
                <w:szCs w:val="22"/>
                <w:lang w:eastAsia="en-US" w:bidi="ar-SA"/>
              </w:rPr>
              <w:t>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грошовій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формі,</w:t>
            </w:r>
          </w:p>
          <w:p w:rsidR="009F3F4E" w:rsidRDefault="0094086A">
            <w:pPr>
              <w:pStyle w:val="TableParagraph"/>
              <w:widowControl w:val="0"/>
              <w:spacing w:line="227" w:lineRule="exact"/>
              <w:ind w:left="105" w:right="105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тис.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грн</w:t>
            </w:r>
            <w:proofErr w:type="spellEnd"/>
          </w:p>
        </w:tc>
      </w:tr>
      <w:tr w:rsidR="009F3F4E">
        <w:trPr>
          <w:trHeight w:val="11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spacing w:before="1"/>
              <w:ind w:left="566" w:right="544" w:firstLine="359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Теплова енергія (теплопостачання),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kern w:val="0"/>
                <w:sz w:val="20"/>
                <w:szCs w:val="22"/>
                <w:lang w:eastAsia="en-US" w:bidi="ar-SA"/>
              </w:rPr>
              <w:t>Гкал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35,10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63,35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49,08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33,61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19,92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26,18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widowControl w:val="0"/>
              <w:ind w:left="-109" w:right="-107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70,20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"/>
              <w:rPr>
                <w:rFonts w:hint="eastAsia"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289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297,44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"/>
              <w:rPr>
                <w:rFonts w:hint="eastAsia"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spacing w:before="1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3729,04</w:t>
            </w:r>
          </w:p>
          <w:p w:rsidR="009F3F4E" w:rsidRDefault="009F3F4E">
            <w:pPr>
              <w:pStyle w:val="TableParagraph"/>
              <w:widowControl w:val="0"/>
              <w:ind w:left="168"/>
              <w:rPr>
                <w:rFonts w:hint="eastAsia"/>
                <w:spacing w:val="-2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3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1109165,66</w:t>
            </w:r>
          </w:p>
        </w:tc>
      </w:tr>
      <w:tr w:rsidR="009F3F4E">
        <w:trPr>
          <w:trHeight w:val="11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Електрична енергія</w:t>
            </w:r>
          </w:p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(електропостачання), кВт/</w:t>
            </w:r>
            <w:proofErr w:type="spellStart"/>
            <w:r>
              <w:rPr>
                <w:kern w:val="0"/>
                <w:sz w:val="20"/>
                <w:szCs w:val="22"/>
                <w:lang w:eastAsia="en-US" w:bidi="ar-SA"/>
              </w:rPr>
              <w:t>год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2676,15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2831,00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3115,05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2317,05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1862,00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1738,50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1567,50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1795,50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1843,00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1919,00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2038,70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3049,50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F4E" w:rsidRDefault="0094086A">
            <w:pPr>
              <w:pStyle w:val="TableParagraph"/>
              <w:widowControl w:val="0"/>
              <w:jc w:val="center"/>
              <w:rPr>
                <w:rFonts w:hint="eastAsi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26752,95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68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4,84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F4E" w:rsidRDefault="009F3F4E">
            <w:pPr>
              <w:pStyle w:val="TableParagraph"/>
              <w:widowControl w:val="0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F3F4E">
            <w:pPr>
              <w:pStyle w:val="TableParagraph"/>
              <w:widowControl w:val="0"/>
              <w:spacing w:before="1"/>
              <w:rPr>
                <w:rFonts w:hint="eastAsia"/>
                <w:b/>
                <w:kern w:val="0"/>
                <w:sz w:val="22"/>
                <w:szCs w:val="22"/>
                <w:lang w:eastAsia="en-US" w:bidi="ar-SA"/>
              </w:rPr>
            </w:pPr>
          </w:p>
          <w:p w:rsidR="009F3F4E" w:rsidRDefault="0094086A">
            <w:pPr>
              <w:pStyle w:val="TableParagraph"/>
              <w:widowControl w:val="0"/>
              <w:ind w:left="143"/>
              <w:rPr>
                <w:rFonts w:hint="eastAsi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129484,28</w:t>
            </w:r>
          </w:p>
        </w:tc>
      </w:tr>
    </w:tbl>
    <w:p w:rsidR="009F3F4E" w:rsidRDefault="009F3F4E">
      <w:pPr>
        <w:widowControl w:val="0"/>
        <w:spacing w:before="65"/>
        <w:jc w:val="right"/>
        <w:rPr>
          <w:rFonts w:hint="eastAsia"/>
          <w:b/>
        </w:rPr>
      </w:pPr>
    </w:p>
    <w:p w:rsidR="009F3F4E" w:rsidRDefault="009F3F4E">
      <w:pPr>
        <w:widowControl w:val="0"/>
        <w:spacing w:before="65"/>
        <w:jc w:val="right"/>
        <w:rPr>
          <w:rFonts w:hint="eastAsia"/>
          <w:b/>
        </w:rPr>
      </w:pPr>
    </w:p>
    <w:p w:rsidR="004B1EE4" w:rsidRPr="004B1EE4" w:rsidRDefault="004B1EE4" w:rsidP="004B1EE4">
      <w:pPr>
        <w:rPr>
          <w:rFonts w:eastAsia="Noto Sans CJK SC" w:cs="Lohit Devanagari"/>
          <w:lang w:val="ru-RU"/>
        </w:rPr>
      </w:pP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 xml:space="preserve">Директор КНП» СМСЧ» </w:t>
      </w:r>
      <w:proofErr w:type="spellStart"/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>Смолінської</w:t>
      </w:r>
      <w:proofErr w:type="spellEnd"/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>селищної</w:t>
      </w:r>
      <w:proofErr w:type="spellEnd"/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 xml:space="preserve"> ради</w:t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ab/>
      </w:r>
      <w:proofErr w:type="spellStart"/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>Микола</w:t>
      </w:r>
      <w:proofErr w:type="spellEnd"/>
      <w:r w:rsidRPr="004B1EE4">
        <w:rPr>
          <w:rFonts w:ascii="Times New Roman" w:eastAsia="Noto Sans CJK SC" w:hAnsi="Times New Roman" w:cs="Times New Roman"/>
          <w:b/>
          <w:bCs/>
          <w:sz w:val="22"/>
          <w:szCs w:val="22"/>
          <w:lang w:val="ru-RU"/>
        </w:rPr>
        <w:t xml:space="preserve"> ДУДАРЧУК</w:t>
      </w:r>
    </w:p>
    <w:p w:rsidR="009F3F4E" w:rsidRPr="004B1EE4" w:rsidRDefault="009F3F4E">
      <w:pPr>
        <w:widowControl w:val="0"/>
        <w:spacing w:before="65"/>
        <w:jc w:val="right"/>
        <w:rPr>
          <w:rFonts w:hint="eastAsia"/>
          <w:b/>
          <w:lang w:val="ru-RU"/>
        </w:rPr>
      </w:pPr>
      <w:bookmarkStart w:id="0" w:name="_GoBack"/>
      <w:bookmarkEnd w:id="0"/>
    </w:p>
    <w:p w:rsidR="009F3F4E" w:rsidRDefault="009F3F4E">
      <w:pPr>
        <w:rPr>
          <w:rFonts w:hint="eastAsia"/>
        </w:rPr>
      </w:pPr>
    </w:p>
    <w:sectPr w:rsidR="009F3F4E">
      <w:pgSz w:w="16838" w:h="11906" w:orient="landscape"/>
      <w:pgMar w:top="720" w:right="720" w:bottom="720" w:left="72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9F3F4E"/>
    <w:rsid w:val="004B1EE4"/>
    <w:rsid w:val="0094086A"/>
    <w:rsid w:val="009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styleId="ab">
    <w:name w:val="List Paragraph"/>
    <w:basedOn w:val="a"/>
    <w:qFormat/>
    <w:pPr>
      <w:ind w:left="100" w:hanging="360"/>
    </w:pPr>
  </w:style>
  <w:style w:type="paragraph" w:customStyle="1" w:styleId="TableParagraph">
    <w:name w:val="Table Paragraph"/>
    <w:basedOn w:val="a"/>
    <w:qFormat/>
  </w:style>
  <w:style w:type="paragraph" w:styleId="ac">
    <w:name w:val="Balloon Text"/>
    <w:basedOn w:val="a"/>
    <w:qFormat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7</cp:revision>
  <dcterms:created xsi:type="dcterms:W3CDTF">2022-11-23T09:24:00Z</dcterms:created>
  <dcterms:modified xsi:type="dcterms:W3CDTF">2022-11-23T09:25:00Z</dcterms:modified>
  <dc:language>uk-UA</dc:language>
</cp:coreProperties>
</file>