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5257FE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5257FE">
        <w:rPr>
          <w:b/>
          <w:sz w:val="24"/>
          <w:szCs w:val="24"/>
        </w:rPr>
        <w:t xml:space="preserve">Про </w:t>
      </w:r>
      <w:r w:rsidR="00240236" w:rsidRPr="005257FE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5257FE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5257FE">
        <w:rPr>
          <w:rFonts w:eastAsia="Calibri"/>
          <w:b/>
          <w:sz w:val="24"/>
          <w:szCs w:val="24"/>
          <w:lang w:eastAsia="en-US"/>
        </w:rPr>
        <w:t xml:space="preserve"> </w:t>
      </w:r>
      <w:r w:rsidR="005257FE" w:rsidRPr="005257FE">
        <w:rPr>
          <w:rFonts w:eastAsia="Calibri"/>
          <w:b/>
          <w:sz w:val="24"/>
          <w:szCs w:val="24"/>
          <w:lang w:eastAsia="en-US"/>
        </w:rPr>
        <w:t>від 30 листопада 2022 року № 932-р «Про роботу в області пунктів обігріву «Пунктів незламності</w:t>
      </w:r>
      <w:r w:rsidR="005257FE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</w:t>
      </w:r>
      <w:bookmarkStart w:id="0" w:name="_GoBack"/>
      <w:bookmarkEnd w:id="0"/>
      <w:r>
        <w:rPr>
          <w:sz w:val="24"/>
          <w:szCs w:val="24"/>
        </w:rPr>
        <w:t>забезпечити виконання.</w:t>
      </w:r>
      <w:r w:rsidR="003A2ADB">
        <w:rPr>
          <w:sz w:val="24"/>
          <w:szCs w:val="24"/>
        </w:rPr>
        <w:t xml:space="preserve"> </w:t>
      </w:r>
    </w:p>
    <w:p w:rsidR="007A00A1" w:rsidRPr="005257F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7FE">
        <w:rPr>
          <w:sz w:val="24"/>
          <w:szCs w:val="24"/>
        </w:rPr>
        <w:t xml:space="preserve">Контроль за виконанням цього рішення покласти на </w:t>
      </w:r>
      <w:r w:rsidR="005257FE">
        <w:rPr>
          <w:sz w:val="24"/>
          <w:szCs w:val="24"/>
        </w:rPr>
        <w:t>селищного голову Миколу МАЗУРУ.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2021-11-09T09:26:00Z</cp:lastPrinted>
  <dcterms:created xsi:type="dcterms:W3CDTF">2022-10-19T05:41:00Z</dcterms:created>
  <dcterms:modified xsi:type="dcterms:W3CDTF">2022-12-14T12:18:00Z</dcterms:modified>
</cp:coreProperties>
</file>