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30C5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085FF9">
        <w:rPr>
          <w:sz w:val="24"/>
          <w:szCs w:val="24"/>
        </w:rPr>
        <w:t>травня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101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085FF9" w:rsidRPr="00286624" w:rsidRDefault="00286624" w:rsidP="00085FF9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286624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01 травня 2023 року №419-р «Про затвердження обласного плану заходів з реалізації у 2023-2025 роках Стратегії розвитку читання на період до 2032 року «Читання як життєва стратегія»</w:t>
      </w:r>
    </w:p>
    <w:p w:rsidR="00940208" w:rsidRPr="006B026D" w:rsidRDefault="00940208" w:rsidP="004E5A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286624" w:rsidRDefault="00286624" w:rsidP="00286624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86624" w:rsidRDefault="00286624" w:rsidP="00286624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реалізацію Плану заходів та інформувати про стан їх виконання департамент освіти і науки </w:t>
      </w:r>
      <w:r w:rsidRPr="002F75FD">
        <w:rPr>
          <w:sz w:val="24"/>
          <w:szCs w:val="24"/>
        </w:rPr>
        <w:t xml:space="preserve">Кіровоградської обласної військової адміністрації </w:t>
      </w:r>
      <w:r>
        <w:rPr>
          <w:sz w:val="24"/>
          <w:szCs w:val="24"/>
        </w:rPr>
        <w:t>щороку до 01 лютого.</w:t>
      </w:r>
    </w:p>
    <w:p w:rsidR="00286624" w:rsidRPr="00712352" w:rsidRDefault="00286624" w:rsidP="00286624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712352">
        <w:rPr>
          <w:sz w:val="24"/>
          <w:szCs w:val="24"/>
        </w:rPr>
        <w:t>Контроль за виконанням цього рішення покласти на начальника відділу освіти, культури, молоді та спорту Олександру МАЙСТРЕНКО</w:t>
      </w:r>
      <w:r>
        <w:rPr>
          <w:sz w:val="24"/>
          <w:szCs w:val="24"/>
        </w:rPr>
        <w:t>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86624"/>
    <w:rsid w:val="002D69E0"/>
    <w:rsid w:val="002F75FD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30C51"/>
    <w:rsid w:val="00B6771D"/>
    <w:rsid w:val="00B848BA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2023-05-25T05:16:00Z</cp:lastPrinted>
  <dcterms:created xsi:type="dcterms:W3CDTF">2023-05-22T13:04:00Z</dcterms:created>
  <dcterms:modified xsi:type="dcterms:W3CDTF">2023-05-25T05:16:00Z</dcterms:modified>
</cp:coreProperties>
</file>