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3A14A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E30C9">
        <w:rPr>
          <w:b/>
          <w:sz w:val="24"/>
          <w:szCs w:val="24"/>
        </w:rPr>
        <w:t xml:space="preserve">Про </w:t>
      </w:r>
      <w:r w:rsidR="004E30C9" w:rsidRPr="004E30C9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від 30 червня 2023 року №737-р «Про </w:t>
      </w:r>
      <w:r w:rsidR="004E30C9">
        <w:rPr>
          <w:rFonts w:eastAsia="Calibri"/>
          <w:b/>
          <w:sz w:val="24"/>
          <w:szCs w:val="24"/>
          <w:lang w:eastAsia="en-US"/>
        </w:rPr>
        <w:t>комендантську годину в області»</w:t>
      </w:r>
    </w:p>
    <w:p w:rsidR="004E30C9" w:rsidRPr="004E30C9" w:rsidRDefault="004E30C9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  <w:r w:rsidR="004E30C9">
        <w:rPr>
          <w:sz w:val="24"/>
          <w:szCs w:val="24"/>
        </w:rPr>
        <w:t>, Закону України «Про правовий режим воєнного стану», Указу Президента України від 01 травня 2023 року №254 «Про продовження строку дії воєнного стану в Україні»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4E30C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E30C9">
        <w:rPr>
          <w:sz w:val="24"/>
          <w:szCs w:val="24"/>
        </w:rPr>
        <w:t xml:space="preserve">Контроль за виконанням цього рішення </w:t>
      </w:r>
      <w:r w:rsidR="004E30C9">
        <w:rPr>
          <w:sz w:val="24"/>
          <w:szCs w:val="24"/>
        </w:rPr>
        <w:t>покласти на селищного голову Миколу МАЗУРУ.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E30C9" w:rsidRDefault="004E30C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30C9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2022-12-19T07:36:00Z</cp:lastPrinted>
  <dcterms:created xsi:type="dcterms:W3CDTF">2023-04-25T12:21:00Z</dcterms:created>
  <dcterms:modified xsi:type="dcterms:W3CDTF">2023-07-18T09:51:00Z</dcterms:modified>
</cp:coreProperties>
</file>