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529FCF7" w:rsidR="003A2ADB" w:rsidRDefault="004F11A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02596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252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C1440AC" w14:textId="19E10585" w:rsidR="00626F06" w:rsidRPr="00626F06" w:rsidRDefault="003B2B7F" w:rsidP="00626F06">
      <w:pPr>
        <w:pStyle w:val="a3"/>
        <w:tabs>
          <w:tab w:val="left" w:pos="3780"/>
        </w:tabs>
        <w:jc w:val="center"/>
        <w:rPr>
          <w:b/>
          <w:sz w:val="24"/>
          <w:szCs w:val="24"/>
        </w:rPr>
      </w:pPr>
      <w:r w:rsidRPr="00626F06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626F06" w:rsidRPr="00626F06">
        <w:rPr>
          <w:b/>
          <w:sz w:val="24"/>
          <w:szCs w:val="24"/>
        </w:rPr>
        <w:t>розпорядження начальника Кіровоградської обласної військової адміністрації від 31 жовтня 2023 року №1229-р «Про вне</w:t>
      </w:r>
      <w:r w:rsidR="00626F06">
        <w:rPr>
          <w:b/>
          <w:sz w:val="24"/>
          <w:szCs w:val="24"/>
        </w:rPr>
        <w:t>сення змін до обласних програм»</w:t>
      </w:r>
    </w:p>
    <w:p w14:paraId="7805DC01" w14:textId="06D81E6F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66AE3BEA" w:rsidR="00050F6D" w:rsidRPr="00626F0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26F06">
        <w:rPr>
          <w:sz w:val="24"/>
          <w:szCs w:val="24"/>
        </w:rPr>
        <w:t xml:space="preserve">Контроль за виконанням цього рішення покласти на </w:t>
      </w:r>
      <w:r w:rsidR="00626F0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26F06">
        <w:rPr>
          <w:sz w:val="24"/>
          <w:szCs w:val="24"/>
        </w:rPr>
        <w:t>Смолінської</w:t>
      </w:r>
      <w:proofErr w:type="spellEnd"/>
      <w:r w:rsidR="00626F06">
        <w:rPr>
          <w:sz w:val="24"/>
          <w:szCs w:val="24"/>
        </w:rPr>
        <w:t xml:space="preserve"> селищної ради.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2023-11-07T09:58:00Z</cp:lastPrinted>
  <dcterms:created xsi:type="dcterms:W3CDTF">2023-11-02T07:38:00Z</dcterms:created>
  <dcterms:modified xsi:type="dcterms:W3CDTF">2023-11-07T09:59:00Z</dcterms:modified>
</cp:coreProperties>
</file>