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3405C24E" w:rsidR="00576F08" w:rsidRPr="00CB5CB1" w:rsidRDefault="00CB5CB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B5CB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2024 року №38-р «Про основні заходи цивільного захисту області на 2024 рік»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A209584" w14:textId="5D6C179E" w:rsidR="000F4B7A" w:rsidRDefault="000F4B7A" w:rsidP="000F4B7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план основних заходів цивільного захисту Смолінської селищної територіальної громади на 2024 рік та січень-лютий 2025 року (додається).</w:t>
      </w:r>
    </w:p>
    <w:p w14:paraId="6A5670C4" w14:textId="1C081462" w:rsidR="00CB5CB1" w:rsidRPr="000F4B7A" w:rsidRDefault="00CB5CB1" w:rsidP="000F4B7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F4B7A">
        <w:rPr>
          <w:sz w:val="24"/>
          <w:szCs w:val="24"/>
        </w:rPr>
        <w:t>Спеціалісту з питань цивільного захисту Олені ПОТАШОВІЙ надавати інформацію про виконання заходів даного розпорядження управлінню з питань цивільного захисту, оборонної роботи та взаємодії з правоохоронними органами Кіровоградської обласної військової адміністрації: за І півріччя 2024 року – до 05 липня 2024 року; за 2024 рік – до 15 січня 2025 року.</w:t>
      </w:r>
    </w:p>
    <w:p w14:paraId="7C53EA47" w14:textId="3C51937F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1C481D">
        <w:rPr>
          <w:sz w:val="24"/>
          <w:szCs w:val="24"/>
        </w:rPr>
        <w:t xml:space="preserve">селищного голову </w:t>
      </w:r>
      <w:bookmarkStart w:id="0" w:name="_GoBack"/>
      <w:bookmarkEnd w:id="0"/>
      <w:r w:rsidR="00576F08">
        <w:rPr>
          <w:sz w:val="24"/>
          <w:szCs w:val="24"/>
        </w:rPr>
        <w:t>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0F4B7A"/>
    <w:rsid w:val="0010683A"/>
    <w:rsid w:val="00126739"/>
    <w:rsid w:val="00157735"/>
    <w:rsid w:val="001C481D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2024-01-19T12:13:00Z</cp:lastPrinted>
  <dcterms:created xsi:type="dcterms:W3CDTF">2023-11-02T07:38:00Z</dcterms:created>
  <dcterms:modified xsi:type="dcterms:W3CDTF">2024-02-28T14:07:00Z</dcterms:modified>
</cp:coreProperties>
</file>