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0E41F2A" w:rsidR="003A2ADB" w:rsidRDefault="00FD190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B2F665F" w14:textId="3C9A4156" w:rsidR="00B429CE" w:rsidRPr="00B429CE" w:rsidRDefault="00B429CE" w:rsidP="00B429CE">
      <w:pPr>
        <w:spacing w:after="200" w:line="276" w:lineRule="auto"/>
        <w:ind w:left="36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B429CE">
        <w:rPr>
          <w:rFonts w:cs="Mangal"/>
          <w:b/>
          <w:bCs/>
          <w:kern w:val="1"/>
          <w:sz w:val="24"/>
          <w:szCs w:val="24"/>
          <w:lang w:eastAsia="zh-CN" w:bidi="hi-IN"/>
        </w:rPr>
        <w:t>Про рішення начальника Кіровоградської обласної військової адміністрації та начальника обласного територіального центру комплектування та соціальної підтримки від 24 січня 2024 року №40-р/52 «Про відбір та прийняття громадян області на військову службу за контрактом до Зб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ройних сил України в 2024 році»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0BED9D0" w14:textId="1C3A91FC" w:rsidR="009018BD" w:rsidRPr="00B429C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429CE">
        <w:rPr>
          <w:sz w:val="24"/>
          <w:szCs w:val="24"/>
        </w:rPr>
        <w:t xml:space="preserve">Контроль за виконанням цього рішення покласти на </w:t>
      </w:r>
      <w:r w:rsidR="00B429CE">
        <w:rPr>
          <w:sz w:val="24"/>
          <w:szCs w:val="24"/>
        </w:rPr>
        <w:t xml:space="preserve">голову </w:t>
      </w:r>
      <w:proofErr w:type="spellStart"/>
      <w:r w:rsidR="00B429CE">
        <w:rPr>
          <w:sz w:val="24"/>
          <w:szCs w:val="24"/>
        </w:rPr>
        <w:t>Смолінської</w:t>
      </w:r>
      <w:proofErr w:type="spellEnd"/>
      <w:r w:rsidR="00B429CE">
        <w:rPr>
          <w:sz w:val="24"/>
          <w:szCs w:val="24"/>
        </w:rPr>
        <w:t xml:space="preserve"> селищної ради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  <w:rsid w:val="00F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2024-03-01T12:52:00Z</cp:lastPrinted>
  <dcterms:created xsi:type="dcterms:W3CDTF">2023-11-02T07:38:00Z</dcterms:created>
  <dcterms:modified xsi:type="dcterms:W3CDTF">2024-03-01T12:52:00Z</dcterms:modified>
</cp:coreProperties>
</file>