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A62C69" w14:textId="3C7ADAE3" w:rsidR="008A0EDC" w:rsidRPr="008A0EDC" w:rsidRDefault="008A0EDC" w:rsidP="008A0ED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8A0ED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26 квітня 2024 року №366-р «Про утворення робочої групи з питання формування переліку </w:t>
      </w:r>
      <w:proofErr w:type="spellStart"/>
      <w:r w:rsidRPr="008A0EDC">
        <w:rPr>
          <w:rFonts w:cs="Mangal"/>
          <w:b/>
          <w:bCs/>
          <w:kern w:val="1"/>
          <w:sz w:val="24"/>
          <w:szCs w:val="24"/>
          <w:lang w:eastAsia="zh-CN" w:bidi="hi-IN"/>
        </w:rPr>
        <w:t>проєктів</w:t>
      </w:r>
      <w:proofErr w:type="spellEnd"/>
      <w:r w:rsidRPr="008A0EDC">
        <w:rPr>
          <w:rFonts w:cs="Mangal"/>
          <w:b/>
          <w:bCs/>
          <w:kern w:val="1"/>
          <w:sz w:val="24"/>
          <w:szCs w:val="24"/>
          <w:lang w:eastAsia="zh-CN" w:bidi="hi-IN"/>
        </w:rPr>
        <w:t>, реалізацію яких пропонується здійснити за рахунок субвенції з державного бюджету місцевим бюджетам на облаштування безпечних умов у закладах, що н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адають загальну середню освіту»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53D763F" w14:textId="35C46403" w:rsidR="00626F06" w:rsidRPr="00BB54F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B54F9">
        <w:rPr>
          <w:sz w:val="24"/>
          <w:szCs w:val="24"/>
        </w:rPr>
        <w:t xml:space="preserve">Контроль за виконанням цього рішення покласти на </w:t>
      </w:r>
      <w:r w:rsidR="00BB54F9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BB54F9">
        <w:rPr>
          <w:sz w:val="24"/>
          <w:szCs w:val="24"/>
        </w:rPr>
        <w:t>Смолінської</w:t>
      </w:r>
      <w:proofErr w:type="spellEnd"/>
      <w:r w:rsidR="00BB54F9">
        <w:rPr>
          <w:sz w:val="24"/>
          <w:szCs w:val="24"/>
        </w:rPr>
        <w:t xml:space="preserve"> селищної ради Олександру МАЙСТРЕНКО.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2024-04-26T10:56:00Z</cp:lastPrinted>
  <dcterms:created xsi:type="dcterms:W3CDTF">2023-11-02T07:38:00Z</dcterms:created>
  <dcterms:modified xsi:type="dcterms:W3CDTF">2024-06-05T10:54:00Z</dcterms:modified>
</cp:coreProperties>
</file>