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A2" w:rsidRDefault="00983C87" w:rsidP="003111A2">
      <w:pPr>
        <w:pStyle w:val="30"/>
        <w:framePr w:w="14722" w:h="3043" w:hRule="exact" w:wrap="none" w:vAnchor="page" w:hAnchor="page" w:x="1049" w:y="1174"/>
        <w:shd w:val="clear" w:color="auto" w:fill="auto"/>
        <w:spacing w:after="140" w:line="262" w:lineRule="auto"/>
        <w:ind w:left="10915"/>
        <w:rPr>
          <w:color w:val="000000"/>
          <w:lang w:eastAsia="uk-UA" w:bidi="uk-UA"/>
        </w:rPr>
      </w:pPr>
      <w:bookmarkStart w:id="0" w:name="bookmark8"/>
      <w:bookmarkStart w:id="1" w:name="bookmark9"/>
      <w:r>
        <w:rPr>
          <w:color w:val="000000"/>
          <w:lang w:eastAsia="uk-UA" w:bidi="uk-UA"/>
        </w:rPr>
        <w:t>Додаток 2</w:t>
      </w:r>
    </w:p>
    <w:p w:rsidR="003111A2" w:rsidRDefault="003111A2" w:rsidP="003111A2">
      <w:pPr>
        <w:pStyle w:val="30"/>
        <w:framePr w:w="14722" w:h="3043" w:hRule="exact" w:wrap="none" w:vAnchor="page" w:hAnchor="page" w:x="1049" w:y="1174"/>
        <w:shd w:val="clear" w:color="auto" w:fill="auto"/>
        <w:spacing w:after="140" w:line="262" w:lineRule="auto"/>
        <w:ind w:left="10915"/>
      </w:pPr>
      <w:r>
        <w:rPr>
          <w:color w:val="000000"/>
          <w:lang w:eastAsia="uk-UA" w:bidi="uk-UA"/>
        </w:rPr>
        <w:t>ЗАТВЕРДЖЕНО</w:t>
      </w:r>
      <w:bookmarkEnd w:id="0"/>
      <w:bookmarkEnd w:id="1"/>
    </w:p>
    <w:p w:rsidR="003111A2" w:rsidRDefault="00983C87" w:rsidP="003111A2">
      <w:pPr>
        <w:pStyle w:val="1"/>
        <w:framePr w:w="14722" w:h="3043" w:hRule="exact" w:wrap="none" w:vAnchor="page" w:hAnchor="page" w:x="1049" w:y="1174"/>
        <w:shd w:val="clear" w:color="auto" w:fill="auto"/>
        <w:spacing w:after="140"/>
        <w:ind w:left="10915" w:firstLine="0"/>
      </w:pPr>
      <w:r>
        <w:rPr>
          <w:color w:val="000000"/>
          <w:lang w:eastAsia="uk-UA" w:bidi="uk-UA"/>
        </w:rPr>
        <w:t>Рішення виконавчого комітету</w:t>
      </w:r>
    </w:p>
    <w:p w:rsidR="00E26518" w:rsidRDefault="003111A2" w:rsidP="003111A2">
      <w:pPr>
        <w:pStyle w:val="1"/>
        <w:framePr w:w="14722" w:h="3043" w:hRule="exact" w:wrap="none" w:vAnchor="page" w:hAnchor="page" w:x="1049" w:y="1174"/>
        <w:shd w:val="clear" w:color="auto" w:fill="auto"/>
        <w:spacing w:after="280" w:line="276" w:lineRule="auto"/>
        <w:ind w:left="10915" w:firstLine="0"/>
      </w:pPr>
      <w:r>
        <w:rPr>
          <w:color w:val="000000"/>
          <w:lang w:eastAsia="uk-UA" w:bidi="uk-UA"/>
        </w:rPr>
        <w:t>від 10 жовтня 2024 року №</w:t>
      </w:r>
      <w:r w:rsidR="00983C87">
        <w:rPr>
          <w:color w:val="000000"/>
          <w:lang w:eastAsia="uk-UA" w:bidi="uk-UA"/>
        </w:rPr>
        <w:t>319</w:t>
      </w:r>
      <w:bookmarkStart w:id="2" w:name="_GoBack"/>
      <w:bookmarkEnd w:id="2"/>
    </w:p>
    <w:p w:rsidR="00E26518" w:rsidRDefault="00E26518" w:rsidP="00E26518">
      <w:pPr>
        <w:pStyle w:val="20"/>
        <w:framePr w:w="14722" w:h="3043" w:hRule="exact" w:wrap="none" w:vAnchor="page" w:hAnchor="page" w:x="1049" w:y="1174"/>
        <w:shd w:val="clear" w:color="auto" w:fill="auto"/>
        <w:ind w:left="6440"/>
        <w:jc w:val="left"/>
      </w:pPr>
      <w:bookmarkStart w:id="3" w:name="bookmark14"/>
      <w:bookmarkStart w:id="4" w:name="bookmark15"/>
      <w:r>
        <w:rPr>
          <w:color w:val="000000"/>
          <w:lang w:eastAsia="uk-UA" w:bidi="uk-UA"/>
        </w:rPr>
        <w:t>СПИСОК</w:t>
      </w:r>
      <w:bookmarkEnd w:id="3"/>
      <w:bookmarkEnd w:id="4"/>
    </w:p>
    <w:p w:rsidR="003111A2" w:rsidRPr="00466F20" w:rsidRDefault="00E26518" w:rsidP="003111A2">
      <w:pPr>
        <w:pStyle w:val="1"/>
        <w:framePr w:w="14722" w:h="3043" w:hRule="exact" w:wrap="none" w:vAnchor="page" w:hAnchor="page" w:x="1049" w:y="1174"/>
        <w:shd w:val="clear" w:color="auto" w:fill="auto"/>
        <w:spacing w:after="0"/>
        <w:ind w:firstLine="0"/>
        <w:jc w:val="center"/>
        <w:rPr>
          <w:b/>
          <w:bCs/>
          <w:color w:val="000000"/>
          <w:sz w:val="24"/>
          <w:szCs w:val="24"/>
          <w:lang w:eastAsia="uk-UA" w:bidi="uk-UA"/>
        </w:rPr>
      </w:pPr>
      <w:r w:rsidRPr="00466F20">
        <w:rPr>
          <w:b/>
          <w:bCs/>
          <w:color w:val="000000"/>
          <w:sz w:val="24"/>
          <w:szCs w:val="24"/>
          <w:lang w:eastAsia="uk-UA" w:bidi="uk-UA"/>
        </w:rPr>
        <w:t xml:space="preserve">відповідальних виконавців з підготовки </w:t>
      </w:r>
      <w:proofErr w:type="spellStart"/>
      <w:r w:rsidR="003111A2" w:rsidRPr="00466F20">
        <w:rPr>
          <w:b/>
          <w:bCs/>
          <w:color w:val="000000"/>
          <w:sz w:val="24"/>
          <w:szCs w:val="24"/>
          <w:lang w:eastAsia="uk-UA" w:bidi="uk-UA"/>
        </w:rPr>
        <w:t>проєкту</w:t>
      </w:r>
      <w:proofErr w:type="spellEnd"/>
      <w:r w:rsidR="003111A2" w:rsidRPr="00466F20">
        <w:rPr>
          <w:b/>
          <w:bCs/>
          <w:color w:val="000000"/>
          <w:sz w:val="24"/>
          <w:szCs w:val="24"/>
          <w:lang w:eastAsia="uk-UA" w:bidi="uk-UA"/>
        </w:rPr>
        <w:t xml:space="preserve"> програми комплексного відновлення території</w:t>
      </w:r>
    </w:p>
    <w:p w:rsidR="00E26518" w:rsidRPr="00466F20" w:rsidRDefault="003111A2" w:rsidP="003111A2">
      <w:pPr>
        <w:pStyle w:val="1"/>
        <w:framePr w:w="14722" w:h="3043" w:hRule="exact" w:wrap="none" w:vAnchor="page" w:hAnchor="page" w:x="1049" w:y="1174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proofErr w:type="spellStart"/>
      <w:r w:rsidRPr="00466F20">
        <w:rPr>
          <w:b/>
          <w:bCs/>
          <w:color w:val="000000"/>
          <w:sz w:val="24"/>
          <w:szCs w:val="24"/>
          <w:lang w:eastAsia="uk-UA" w:bidi="uk-UA"/>
        </w:rPr>
        <w:t>Смолінської</w:t>
      </w:r>
      <w:proofErr w:type="spellEnd"/>
      <w:r w:rsidRPr="00466F20">
        <w:rPr>
          <w:b/>
          <w:bCs/>
          <w:color w:val="000000"/>
          <w:sz w:val="24"/>
          <w:szCs w:val="24"/>
          <w:lang w:eastAsia="uk-UA" w:bidi="uk-UA"/>
        </w:rPr>
        <w:t xml:space="preserve"> ТГ на 2025-2027 роки</w:t>
      </w: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961"/>
        <w:gridCol w:w="9072"/>
      </w:tblGrid>
      <w:tr w:rsidR="00ED685E" w:rsidRPr="00466F20" w:rsidTr="007F27A1">
        <w:trPr>
          <w:trHeight w:hRule="exact" w:val="5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5E" w:rsidRPr="00466F20" w:rsidRDefault="00ED685E" w:rsidP="00ED685E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pos="773"/>
              </w:tabs>
              <w:spacing w:after="0" w:line="240" w:lineRule="auto"/>
              <w:ind w:firstLine="0"/>
              <w:rPr>
                <w:color w:val="000000"/>
                <w:sz w:val="24"/>
                <w:szCs w:val="24"/>
                <w:lang w:eastAsia="uk-UA" w:bidi="uk-UA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№  з/п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ED685E" w:rsidP="00ED685E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pos="773"/>
              </w:tabs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Назва частини розділу </w:t>
            </w:r>
          </w:p>
          <w:p w:rsidR="00ED685E" w:rsidRPr="00466F20" w:rsidRDefault="00ED685E" w:rsidP="00ED685E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pos="773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66F20">
              <w:rPr>
                <w:color w:val="000000"/>
                <w:sz w:val="24"/>
                <w:szCs w:val="24"/>
                <w:lang w:eastAsia="uk-UA" w:bidi="uk-UA"/>
              </w:rPr>
              <w:t>проєкту</w:t>
            </w:r>
            <w:proofErr w:type="spellEnd"/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Програми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5E" w:rsidRPr="00466F20" w:rsidRDefault="00ED685E" w:rsidP="00ED685E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Відповідальні розробники розділів </w:t>
            </w:r>
            <w:proofErr w:type="spellStart"/>
            <w:r w:rsidRPr="00466F20">
              <w:rPr>
                <w:color w:val="000000"/>
                <w:sz w:val="24"/>
                <w:szCs w:val="24"/>
                <w:lang w:eastAsia="uk-UA" w:bidi="uk-UA"/>
              </w:rPr>
              <w:t>проєкту</w:t>
            </w:r>
            <w:proofErr w:type="spellEnd"/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програми</w:t>
            </w:r>
          </w:p>
        </w:tc>
      </w:tr>
      <w:tr w:rsidR="00ED685E" w:rsidRPr="00466F20" w:rsidTr="007F27A1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5E" w:rsidRPr="00466F20" w:rsidRDefault="00ED685E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pos="2283"/>
                <w:tab w:val="left" w:pos="4194"/>
              </w:tabs>
              <w:spacing w:after="0" w:line="240" w:lineRule="auto"/>
              <w:ind w:firstLine="200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ED685E" w:rsidP="00ED685E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pos="2283"/>
                <w:tab w:val="left" w:pos="4194"/>
              </w:tabs>
              <w:spacing w:after="0" w:line="240" w:lineRule="auto"/>
              <w:ind w:left="-719"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ED685E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</w:tr>
      <w:tr w:rsidR="00040C66" w:rsidRPr="00466F20" w:rsidTr="00040C66">
        <w:trPr>
          <w:trHeight w:hRule="exact" w:val="273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66" w:rsidRPr="00466F20" w:rsidRDefault="00040C66" w:rsidP="00040C66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left="1480"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І. ЗАГАЛЬНІ ПОЛОЖЕННЯ</w:t>
            </w:r>
          </w:p>
        </w:tc>
      </w:tr>
      <w:tr w:rsidR="00ED685E" w:rsidRPr="00466F20" w:rsidTr="007F27A1">
        <w:trPr>
          <w:trHeight w:hRule="exact"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5E" w:rsidRPr="00466F20" w:rsidRDefault="003A75D4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200"/>
              <w:rPr>
                <w:color w:val="000000"/>
                <w:sz w:val="24"/>
                <w:szCs w:val="24"/>
                <w:lang w:eastAsia="uk-UA" w:bidi="uk-UA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5E" w:rsidRPr="00466F20" w:rsidRDefault="00ED685E" w:rsidP="00FC2570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Загальний опис </w:t>
            </w:r>
            <w:r w:rsidR="00FC2570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FC2570" w:rsidP="00FC2570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88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</w:t>
            </w:r>
          </w:p>
        </w:tc>
      </w:tr>
      <w:tr w:rsidR="00ED685E" w:rsidRPr="00466F20" w:rsidTr="007F27A1">
        <w:trPr>
          <w:trHeight w:hRule="exact" w:val="15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5E" w:rsidRPr="00466F20" w:rsidRDefault="00466F20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54" w:lineRule="auto"/>
              <w:ind w:firstLine="200"/>
              <w:rPr>
                <w:color w:val="000000"/>
                <w:sz w:val="24"/>
                <w:szCs w:val="24"/>
                <w:lang w:eastAsia="uk-UA" w:bidi="uk-UA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ED685E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pos="653"/>
              </w:tabs>
              <w:spacing w:after="0" w:line="254" w:lineRule="auto"/>
              <w:ind w:firstLine="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Інформація про наявність</w:t>
            </w:r>
            <w:r w:rsidR="00466F20"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містобудівної документації на</w:t>
            </w:r>
            <w:r w:rsidR="00466F20"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території </w:t>
            </w:r>
            <w:r w:rsidR="00466F20" w:rsidRPr="00466F20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r w:rsidR="00466F20"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аналіз щодо її актуальності та ступінь її реалізації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5E" w:rsidRPr="00466F20" w:rsidRDefault="00FC2570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59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Відділ будівництва, земельних ресурсів, архітектури та ЖКГ</w:t>
            </w:r>
          </w:p>
        </w:tc>
      </w:tr>
      <w:tr w:rsidR="00ED685E" w:rsidRPr="00466F20" w:rsidTr="007F27A1">
        <w:trPr>
          <w:trHeight w:hRule="exact" w:val="115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5E" w:rsidRPr="00466F20" w:rsidRDefault="006B0636" w:rsidP="006B0636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6B0636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pos="59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Інформація про наявність стратегії розвитку </w:t>
            </w:r>
            <w:proofErr w:type="spellStart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С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молінської</w:t>
            </w:r>
            <w:proofErr w:type="spellEnd"/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ТГ</w:t>
            </w: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, аналіз щодо її актуальності та ступеня реалізації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5E" w:rsidRPr="00466F20" w:rsidRDefault="00FC2570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</w:t>
            </w:r>
          </w:p>
        </w:tc>
      </w:tr>
      <w:tr w:rsidR="00ED685E" w:rsidRPr="00466F20" w:rsidTr="007F27A1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5E" w:rsidRPr="00466F20" w:rsidRDefault="00040C66" w:rsidP="00040C66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54" w:lineRule="auto"/>
              <w:ind w:left="740" w:hanging="74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040C66" w:rsidP="00FC2570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54" w:lineRule="auto"/>
              <w:ind w:left="-10" w:firstLine="10"/>
              <w:rPr>
                <w:sz w:val="24"/>
                <w:szCs w:val="24"/>
              </w:rPr>
            </w:pP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Нормативно-правова база для розроблення програми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85E" w:rsidRPr="00466F20" w:rsidRDefault="00FC2570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93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Спеціаліст з інвестиційних та соціально-економічних питань, відділи селищної ради по напрямкам </w:t>
            </w:r>
          </w:p>
        </w:tc>
      </w:tr>
      <w:tr w:rsidR="00F357EC" w:rsidRPr="00466F20" w:rsidTr="00F357EC">
        <w:trPr>
          <w:trHeight w:hRule="exact" w:val="254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7EC" w:rsidRPr="00466F20" w:rsidRDefault="00F357EC" w:rsidP="00F357EC">
            <w:pPr>
              <w:pStyle w:val="a5"/>
              <w:framePr w:w="14722" w:h="6581" w:wrap="none" w:vAnchor="page" w:hAnchor="page" w:x="1049" w:y="4246"/>
              <w:shd w:val="clear" w:color="auto" w:fill="auto"/>
              <w:tabs>
                <w:tab w:val="left" w:leader="hyphen" w:pos="538"/>
                <w:tab w:val="left" w:leader="hyphen" w:pos="2136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ІІ</w:t>
            </w: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. ВИЗНАЧЕННЯ ПРОБЛЕМИ, НА РОЗВ’ЯЗАННЯ ЯКОЇ СПРЯМОВАНА ПРОГРАМА</w:t>
            </w:r>
          </w:p>
        </w:tc>
      </w:tr>
      <w:tr w:rsidR="00ED685E" w:rsidRPr="00466F20" w:rsidTr="007F27A1">
        <w:trPr>
          <w:trHeight w:hRule="exact" w:val="14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85E" w:rsidRPr="00466F20" w:rsidRDefault="00F357EC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300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685E" w:rsidRPr="00466F20" w:rsidRDefault="00F357EC" w:rsidP="00F357EC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Аналіз негативних впливів (зокрема бойових дій – відплив робочої сили, закриття </w:t>
            </w:r>
            <w:proofErr w:type="spellStart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Смолінської</w:t>
            </w:r>
            <w:proofErr w:type="spellEnd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шахти) та оцінку їх наслідків (збитків), що призвели до необхідності розроблення</w:t>
            </w:r>
          </w:p>
          <w:p w:rsidR="00ED685E" w:rsidRPr="00466F20" w:rsidRDefault="00ED685E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■ їх наслідків (збитків), що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85E" w:rsidRPr="00466F20" w:rsidRDefault="00FC2570" w:rsidP="001C09EF">
            <w:pPr>
              <w:pStyle w:val="a5"/>
              <w:framePr w:w="14722" w:h="6581" w:wrap="none" w:vAnchor="page" w:hAnchor="page" w:x="1049" w:y="4246"/>
              <w:shd w:val="clear" w:color="auto" w:fill="auto"/>
              <w:spacing w:after="0" w:line="257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Спеціаліст з інвестиційних та соціально-економічних питань, </w:t>
            </w:r>
            <w:r w:rsidR="008F737A">
              <w:rPr>
                <w:color w:val="000000"/>
                <w:sz w:val="24"/>
                <w:szCs w:val="24"/>
                <w:lang w:eastAsia="uk-UA" w:bidi="uk-UA"/>
              </w:rPr>
              <w:t xml:space="preserve"> Відділ будівництва, земельних ресурсів, архітектури та ЖКГ</w:t>
            </w:r>
          </w:p>
        </w:tc>
      </w:tr>
    </w:tbl>
    <w:p w:rsidR="00E26518" w:rsidRPr="00466F20" w:rsidRDefault="00E26518" w:rsidP="00E26518">
      <w:pPr>
        <w:spacing w:line="1" w:lineRule="exact"/>
        <w:rPr>
          <w:rFonts w:ascii="Times New Roman" w:hAnsi="Times New Roman" w:cs="Times New Roman"/>
        </w:rPr>
        <w:sectPr w:rsidR="00E26518" w:rsidRPr="00466F2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6518" w:rsidRPr="00466F20" w:rsidRDefault="00E26518" w:rsidP="00E26518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5056"/>
        <w:gridCol w:w="9104"/>
      </w:tblGrid>
      <w:tr w:rsidR="00E26518" w:rsidRPr="00466F20" w:rsidTr="007F27A1">
        <w:trPr>
          <w:trHeight w:hRule="exact" w:val="3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4B6BA2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1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</w:tr>
      <w:tr w:rsidR="00E26518" w:rsidRPr="00466F20" w:rsidTr="007F27A1">
        <w:trPr>
          <w:trHeight w:hRule="exact" w:val="5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84" w:h="9600" w:wrap="none" w:vAnchor="page" w:hAnchor="page" w:x="1018" w:y="1174"/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до необхідності розроблення програми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84" w:h="9600" w:wrap="none" w:vAnchor="page" w:hAnchor="page" w:x="1018" w:y="1174"/>
              <w:rPr>
                <w:rFonts w:ascii="Times New Roman" w:hAnsi="Times New Roman" w:cs="Times New Roman"/>
              </w:rPr>
            </w:pPr>
          </w:p>
        </w:tc>
      </w:tr>
      <w:tr w:rsidR="00E26518" w:rsidRPr="00466F20" w:rsidTr="007F27A1">
        <w:trPr>
          <w:trHeight w:hRule="exact" w:val="8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before="8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8F737A">
            <w:pPr>
              <w:pStyle w:val="a5"/>
              <w:framePr w:w="14784" w:h="9600" w:wrap="none" w:vAnchor="page" w:hAnchor="page" w:x="1018" w:y="1174"/>
              <w:shd w:val="clear" w:color="auto" w:fill="auto"/>
              <w:tabs>
                <w:tab w:val="left" w:pos="3552"/>
              </w:tabs>
              <w:spacing w:after="0" w:line="257" w:lineRule="auto"/>
              <w:ind w:firstLine="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Аналіз ресурсів території для відновлення життєдіяльності </w:t>
            </w:r>
            <w:r w:rsidR="00F357EC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ab/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1F548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Спеціаліст з інвестиційних та соціально-економічних питань, </w:t>
            </w:r>
            <w:r w:rsidR="008F737A">
              <w:rPr>
                <w:color w:val="000000"/>
                <w:sz w:val="24"/>
                <w:szCs w:val="24"/>
                <w:lang w:eastAsia="uk-UA" w:bidi="uk-UA"/>
              </w:rPr>
              <w:t>Відділ будівництва, земельних ресурсів, архітектури та ЖКГ</w:t>
            </w:r>
          </w:p>
        </w:tc>
      </w:tr>
      <w:tr w:rsidR="00E26518" w:rsidRPr="00466F20" w:rsidTr="007F27A1">
        <w:trPr>
          <w:trHeight w:hRule="exact" w:val="15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before="8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F357EC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54" w:lineRule="auto"/>
              <w:ind w:firstLine="0"/>
              <w:rPr>
                <w:sz w:val="24"/>
                <w:szCs w:val="24"/>
              </w:rPr>
            </w:pPr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Інформація щодо необхідності підготовки території (передача в комунальну власність об’єктів </w:t>
            </w:r>
            <w:proofErr w:type="spellStart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>Смолінської</w:t>
            </w:r>
            <w:proofErr w:type="spellEnd"/>
            <w:r w:rsidRPr="00DD0107">
              <w:rPr>
                <w:color w:val="000000"/>
                <w:sz w:val="24"/>
                <w:szCs w:val="24"/>
                <w:lang w:eastAsia="uk-UA" w:bidi="uk-UA"/>
              </w:rPr>
              <w:t xml:space="preserve"> шахти, земельних ділянок, рекультивації земель)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1F548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Відділ будівництва, земельних ресурсів, архітектури та ЖКГ</w:t>
            </w:r>
          </w:p>
        </w:tc>
      </w:tr>
      <w:tr w:rsidR="00E26518" w:rsidRPr="00466F20" w:rsidTr="007F27A1">
        <w:trPr>
          <w:trHeight w:hRule="exact" w:val="1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before="8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F357EC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Інформація щодо технічної можливості, економічної доцільності відновлення </w:t>
            </w:r>
            <w:r w:rsidR="00F357EC">
              <w:rPr>
                <w:color w:val="000000"/>
                <w:sz w:val="24"/>
                <w:szCs w:val="24"/>
                <w:lang w:eastAsia="uk-UA" w:bidi="uk-UA"/>
              </w:rPr>
              <w:t xml:space="preserve">та розвитку 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населених пунктів </w:t>
            </w:r>
            <w:r w:rsidR="00F357EC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1F5488" w:rsidP="00AC7973">
            <w:pPr>
              <w:pStyle w:val="a5"/>
              <w:framePr w:w="14784" w:h="9600" w:wrap="none" w:vAnchor="page" w:hAnchor="page" w:x="1018" w:y="1174"/>
              <w:shd w:val="clear" w:color="auto" w:fill="auto"/>
              <w:tabs>
                <w:tab w:val="left" w:pos="10277"/>
              </w:tabs>
              <w:spacing w:after="0" w:line="283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Спеціаліст з інвестиційних та соціально-економічних питань, відділи селищної ради по напрямкам </w:t>
            </w:r>
            <w:r w:rsidR="00E26518" w:rsidRPr="00466F20">
              <w:rPr>
                <w:color w:val="000000"/>
                <w:sz w:val="24"/>
                <w:szCs w:val="24"/>
                <w:lang w:eastAsia="uk-UA" w:bidi="uk-UA"/>
              </w:rPr>
              <w:tab/>
            </w:r>
          </w:p>
        </w:tc>
      </w:tr>
      <w:tr w:rsidR="00AC7973" w:rsidRPr="00466F20" w:rsidTr="001F5488">
        <w:trPr>
          <w:trHeight w:hRule="exact" w:val="277"/>
        </w:trPr>
        <w:tc>
          <w:tcPr>
            <w:tcW w:w="14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973" w:rsidRPr="00466F20" w:rsidRDefault="00AC7973" w:rsidP="00AC7973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94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III. ВИЗНАЧЕННЯ МЕТИ ПРОГРАМИ</w:t>
            </w:r>
          </w:p>
        </w:tc>
      </w:tr>
      <w:tr w:rsidR="00E26518" w:rsidRPr="00466F20" w:rsidTr="001C09EF">
        <w:trPr>
          <w:trHeight w:hRule="exact" w:val="586"/>
        </w:trPr>
        <w:tc>
          <w:tcPr>
            <w:tcW w:w="14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ОБГРУНТУВАННЯ ШЛЯХІВ І ЗАСОБІВ РОЗВ’ЯЗАННЯ ПРОБЛЕМИ, ОБСЯГІВ ТА ДЖЕРЕЛ ФІНАНСУВАННЯ; СТРОКИ ТА ЕТАПИ ВИКОНАННЯ ПРОГРАМИ</w:t>
            </w:r>
          </w:p>
        </w:tc>
      </w:tr>
      <w:tr w:rsidR="00E26518" w:rsidRPr="00466F20" w:rsidTr="007F27A1">
        <w:trPr>
          <w:trHeight w:hRule="exact" w:val="182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30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57" w:lineRule="auto"/>
              <w:ind w:left="16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Обґрунтовані пропозиції щодо відновлення навколишнього природного середовища, збереження та розвитку природоохоронних територій та об’єктів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52067C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Відділ будівництва, земельних ресурсів, архітектури та ЖКГ</w:t>
            </w:r>
          </w:p>
        </w:tc>
      </w:tr>
      <w:tr w:rsidR="00E26518" w:rsidRPr="00466F20" w:rsidTr="007F27A1">
        <w:trPr>
          <w:trHeight w:hRule="exact" w:val="14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30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2.</w:t>
            </w:r>
          </w:p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600" w:line="204" w:lineRule="auto"/>
              <w:ind w:firstLine="0"/>
              <w:rPr>
                <w:sz w:val="24"/>
                <w:szCs w:val="24"/>
              </w:rPr>
            </w:pPr>
          </w:p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1C09EF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Інформація щодо технічної можливості, економічної доцільності відновлення інженерно-транспортної, енергетичної інфраструктури,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4C2A59" w:rsidP="004C2A59">
            <w:pPr>
              <w:pStyle w:val="a5"/>
              <w:framePr w:w="14784" w:h="9600" w:wrap="none" w:vAnchor="page" w:hAnchor="page" w:x="1018" w:y="117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Спеціаліст з інвестиційних та соціально-економічних питань, відділи селищної ради по напрямкам,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Смолінське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4C2A59">
              <w:rPr>
                <w:sz w:val="24"/>
                <w:szCs w:val="24"/>
              </w:rPr>
              <w:t>ВКГ ОКВП «Дніпро-Кіровоград»</w:t>
            </w:r>
          </w:p>
        </w:tc>
      </w:tr>
    </w:tbl>
    <w:p w:rsidR="00E26518" w:rsidRPr="00466F20" w:rsidRDefault="00E26518" w:rsidP="00E26518">
      <w:pPr>
        <w:spacing w:line="1" w:lineRule="exact"/>
        <w:rPr>
          <w:rFonts w:ascii="Times New Roman" w:hAnsi="Times New Roman" w:cs="Times New Roman"/>
        </w:rPr>
        <w:sectPr w:rsidR="00E26518" w:rsidRPr="00466F2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6518" w:rsidRPr="00466F20" w:rsidRDefault="00E26518" w:rsidP="00E26518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153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066"/>
        <w:gridCol w:w="9657"/>
      </w:tblGrid>
      <w:tr w:rsidR="00E26518" w:rsidRPr="00466F20" w:rsidTr="007F27A1">
        <w:trPr>
          <w:trHeight w:hRule="exact" w:val="307"/>
        </w:trPr>
        <w:tc>
          <w:tcPr>
            <w:tcW w:w="614" w:type="dxa"/>
            <w:shd w:val="clear" w:color="auto" w:fill="FFFFFF"/>
            <w:vAlign w:val="bottom"/>
          </w:tcPr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40" w:lineRule="auto"/>
              <w:ind w:firstLine="220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5066" w:type="dxa"/>
            <w:shd w:val="clear" w:color="auto" w:fill="FFFFFF"/>
            <w:vAlign w:val="bottom"/>
          </w:tcPr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</w:tr>
      <w:tr w:rsidR="00E26518" w:rsidRPr="00466F20" w:rsidTr="007F27A1">
        <w:trPr>
          <w:trHeight w:hRule="exact" w:val="9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818" w:h="9720" w:wrap="none" w:vAnchor="page" w:hAnchor="page" w:x="1001" w:y="1174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704F64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54" w:lineRule="auto"/>
              <w:ind w:firstLine="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інфраструктури електронних комунікаційних мереж, об’єктів водогосподарської інфраструктури 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83" w:lineRule="auto"/>
              <w:ind w:firstLine="0"/>
              <w:rPr>
                <w:sz w:val="24"/>
                <w:szCs w:val="24"/>
              </w:rPr>
            </w:pPr>
          </w:p>
        </w:tc>
      </w:tr>
      <w:tr w:rsidR="00E26518" w:rsidRPr="00466F20" w:rsidTr="007F27A1">
        <w:trPr>
          <w:trHeight w:hRule="exact" w:val="212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before="8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4C2A59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54" w:lineRule="auto"/>
              <w:ind w:firstLine="0"/>
              <w:rPr>
                <w:sz w:val="24"/>
                <w:szCs w:val="24"/>
              </w:rPr>
            </w:pP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Обґрунтовані пропозиції щодо зміни функціонального призначення окремих територій, будівель громади з урахуванням існуючої забудови та наявної містобудівної документації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="00E26518" w:rsidRPr="00466F20">
              <w:rPr>
                <w:color w:val="000000"/>
                <w:sz w:val="24"/>
                <w:szCs w:val="24"/>
                <w:lang w:eastAsia="uk-UA" w:bidi="uk-UA"/>
              </w:rPr>
              <w:t>документації</w:t>
            </w:r>
            <w:proofErr w:type="spellEnd"/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4C2A59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54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Відділ будівництва, земельних ресурсів, архітектури та ЖКГ</w:t>
            </w:r>
          </w:p>
        </w:tc>
      </w:tr>
      <w:tr w:rsidR="00E26518" w:rsidRPr="00466F20" w:rsidTr="007F27A1">
        <w:trPr>
          <w:trHeight w:hRule="exact" w:val="1278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before="8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FB3944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57" w:lineRule="auto"/>
              <w:ind w:firstLine="0"/>
              <w:rPr>
                <w:sz w:val="24"/>
                <w:szCs w:val="24"/>
              </w:rPr>
            </w:pPr>
            <w:r w:rsidRPr="00DD0107">
              <w:rPr>
                <w:color w:val="000000"/>
                <w:sz w:val="24"/>
                <w:szCs w:val="24"/>
                <w:lang w:eastAsia="uk-UA" w:bidi="uk-UA"/>
              </w:rPr>
              <w:t>Обґрунтовані пропозиції щодо перенесення об’єктів виробничої сфери, будівництва нових таких об‘єктів.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4C2A59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69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Спеціаліст з інвестиційних та соціально-економічних питань,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Відділ будівництва, земельних ресурсів, архітектури та ЖКГ</w:t>
            </w:r>
          </w:p>
        </w:tc>
      </w:tr>
      <w:tr w:rsidR="00E26518" w:rsidRPr="00466F20" w:rsidTr="007153C7">
        <w:trPr>
          <w:trHeight w:hRule="exact" w:val="2970"/>
        </w:trPr>
        <w:tc>
          <w:tcPr>
            <w:tcW w:w="614" w:type="dxa"/>
            <w:shd w:val="clear" w:color="auto" w:fill="FFFFFF"/>
          </w:tcPr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before="80" w:after="2760" w:line="240" w:lineRule="auto"/>
              <w:ind w:firstLine="28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5.</w:t>
            </w:r>
          </w:p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1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0C447B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Загальні підходи та пропозиції щодо комплексного відновлення, розвитку території </w:t>
            </w:r>
            <w:r w:rsidR="000C447B">
              <w:rPr>
                <w:color w:val="000000"/>
                <w:sz w:val="24"/>
                <w:szCs w:val="24"/>
                <w:lang w:eastAsia="uk-UA" w:bidi="uk-UA"/>
              </w:rPr>
              <w:t xml:space="preserve">громади 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>та заходи для їх реалізації з урахуванням норм і нормативів щодо просторового планування та землекористування, захисту навколишнього природного середовища та природних ресурсів, забезпечення населення закладами і послугами, що в них надаються, охорони культурної спадщини, розвитку транспорту та інженерної інфраструктури тощо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986F3C" w:rsidRDefault="00986F3C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Спеціаліст з інвестиційних та соціально-економічних питань. Структурні підрозділи селищної ради по своїх напрямках </w:t>
            </w:r>
          </w:p>
        </w:tc>
      </w:tr>
      <w:tr w:rsidR="00E26518" w:rsidRPr="00466F20" w:rsidTr="00E96E74">
        <w:trPr>
          <w:trHeight w:hRule="exact" w:val="998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26518" w:rsidRPr="005823B4" w:rsidRDefault="00E26518" w:rsidP="005823B4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8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23B4">
              <w:rPr>
                <w:bCs/>
                <w:color w:val="000000"/>
                <w:sz w:val="24"/>
                <w:szCs w:val="24"/>
                <w:lang w:eastAsia="uk-UA" w:bidi="uk-UA"/>
              </w:rPr>
              <w:t>6.</w:t>
            </w:r>
          </w:p>
          <w:p w:rsidR="00E26518" w:rsidRPr="00466F20" w:rsidRDefault="00E26518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6518" w:rsidRPr="00466F20" w:rsidRDefault="00E26518" w:rsidP="007153C7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Попередній </w:t>
            </w:r>
            <w:proofErr w:type="spellStart"/>
            <w:r w:rsidRPr="00466F20">
              <w:rPr>
                <w:color w:val="000000"/>
                <w:sz w:val="24"/>
                <w:szCs w:val="24"/>
                <w:lang w:eastAsia="uk-UA" w:bidi="uk-UA"/>
              </w:rPr>
              <w:t>фінансово-</w:t>
            </w:r>
            <w:proofErr w:type="spellEnd"/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економічний розрахунок заходів</w:t>
            </w:r>
            <w:r w:rsidR="00E96E74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E96E74"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для забезпечення комплексного відновлення </w:t>
            </w:r>
            <w:r w:rsidR="007153C7">
              <w:rPr>
                <w:color w:val="000000"/>
                <w:sz w:val="24"/>
                <w:szCs w:val="24"/>
                <w:lang w:eastAsia="uk-UA" w:bidi="uk-UA"/>
              </w:rPr>
              <w:t>громади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5F29DB" w:rsidP="001C09EF">
            <w:pPr>
              <w:pStyle w:val="a5"/>
              <w:framePr w:w="14818" w:h="9720" w:wrap="none" w:vAnchor="page" w:hAnchor="page" w:x="1001" w:y="1174"/>
              <w:shd w:val="clear" w:color="auto" w:fill="auto"/>
              <w:spacing w:after="0" w:line="252" w:lineRule="auto"/>
              <w:ind w:left="180"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питань. Структурні підрозділи селищної ради по своїх напрямках</w:t>
            </w:r>
          </w:p>
        </w:tc>
      </w:tr>
    </w:tbl>
    <w:p w:rsidR="00E26518" w:rsidRPr="00466F20" w:rsidRDefault="00E26518" w:rsidP="00E26518">
      <w:pPr>
        <w:spacing w:line="1" w:lineRule="exact"/>
        <w:rPr>
          <w:rFonts w:ascii="Times New Roman" w:hAnsi="Times New Roman" w:cs="Times New Roman"/>
        </w:rPr>
        <w:sectPr w:rsidR="00E26518" w:rsidRPr="00466F2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6518" w:rsidRPr="00466F20" w:rsidRDefault="00E26518" w:rsidP="00E26518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3677"/>
        <w:gridCol w:w="6351"/>
      </w:tblGrid>
      <w:tr w:rsidR="00E26518" w:rsidRPr="00466F20" w:rsidTr="00E96E74">
        <w:trPr>
          <w:trHeight w:hRule="exact" w:val="355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665E86">
            <w:pPr>
              <w:pStyle w:val="a5"/>
              <w:framePr w:w="14760" w:h="7531" w:wrap="none" w:vAnchor="page" w:hAnchor="page" w:x="1030" w:y="1174"/>
              <w:shd w:val="clear" w:color="auto" w:fill="auto"/>
              <w:tabs>
                <w:tab w:val="left" w:leader="dot" w:pos="421"/>
                <w:tab w:val="right" w:leader="dot" w:pos="1189"/>
                <w:tab w:val="left" w:pos="1342"/>
                <w:tab w:val="left" w:pos="2302"/>
                <w:tab w:val="left" w:pos="8130"/>
                <w:tab w:val="left" w:leader="underscore" w:pos="8629"/>
                <w:tab w:val="left" w:leader="underscore" w:pos="9238"/>
                <w:tab w:val="left" w:pos="10386"/>
                <w:tab w:val="left" w:leader="dot" w:pos="10424"/>
                <w:tab w:val="left" w:leader="dot" w:pos="10515"/>
                <w:tab w:val="left" w:pos="11571"/>
                <w:tab w:val="left" w:pos="11984"/>
                <w:tab w:val="left" w:leader="dot" w:pos="12934"/>
                <w:tab w:val="left" w:leader="dot" w:pos="13064"/>
                <w:tab w:val="left" w:leader="dot" w:pos="13280"/>
                <w:tab w:val="left" w:leader="dot" w:pos="13390"/>
                <w:tab w:val="left" w:pos="13741"/>
              </w:tabs>
              <w:spacing w:after="0" w:line="240" w:lineRule="auto"/>
              <w:ind w:firstLine="200"/>
              <w:rPr>
                <w:sz w:val="24"/>
                <w:szCs w:val="24"/>
              </w:rPr>
            </w:pPr>
          </w:p>
        </w:tc>
      </w:tr>
      <w:tr w:rsidR="00E26518" w:rsidRPr="00466F20" w:rsidTr="00E96E74">
        <w:trPr>
          <w:trHeight w:hRule="exact" w:val="1208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96E74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52" w:lineRule="auto"/>
              <w:ind w:left="680" w:hanging="4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7.  </w:t>
            </w:r>
            <w:r w:rsidR="00E26518"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Пропозиції щодо джерел фінансування заходів для забезпечення комплексного відновлення області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D640A5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питань. Структурні підрозділи селищної ради по своїх напрямках</w:t>
            </w:r>
          </w:p>
        </w:tc>
      </w:tr>
      <w:tr w:rsidR="00E26518" w:rsidRPr="00466F20" w:rsidTr="00E96E74">
        <w:trPr>
          <w:trHeight w:hRule="exact" w:val="446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V. ПЕРЕЛІК ЗАВДАНЬ І ЗАХОДІВ ТА РЕЗУЛЬТАТИВНІ ПОКАЗНИКИ</w:t>
            </w:r>
          </w:p>
        </w:tc>
      </w:tr>
      <w:tr w:rsidR="00E26518" w:rsidRPr="00466F20" w:rsidTr="003B2B5E">
        <w:trPr>
          <w:trHeight w:hRule="exact" w:val="1812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3B2B5E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54" w:lineRule="auto"/>
              <w:ind w:left="680" w:hanging="120"/>
              <w:rPr>
                <w:sz w:val="24"/>
                <w:szCs w:val="24"/>
              </w:rPr>
            </w:pP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1. </w:t>
            </w:r>
            <w:r w:rsidR="003B2B5E" w:rsidRPr="00597836">
              <w:rPr>
                <w:color w:val="000000"/>
                <w:sz w:val="24"/>
                <w:szCs w:val="24"/>
                <w:lang w:eastAsia="uk-UA" w:bidi="uk-UA"/>
              </w:rPr>
              <w:t xml:space="preserve"> Перелік заходів з реалізації програми комплексного відновлення Кіровоградської області (у тому числі визначення виконавців, індикаторів реалізації та очікуваних результатів)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3B2B5E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54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питань. Структурні підрозділи селищної ради по своїх напрямках</w:t>
            </w:r>
          </w:p>
        </w:tc>
      </w:tr>
      <w:tr w:rsidR="00E26518" w:rsidRPr="00466F20" w:rsidTr="00E96E74">
        <w:trPr>
          <w:trHeight w:hRule="exact" w:val="427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VI. НАПРЯМИ РЕАЛІЗАЦІЇ ТА ЗАХОДИ ПРОГРАМИ</w:t>
            </w:r>
          </w:p>
        </w:tc>
      </w:tr>
      <w:tr w:rsidR="00E26518" w:rsidRPr="00466F20" w:rsidTr="003B2B5E">
        <w:trPr>
          <w:trHeight w:hRule="exact" w:val="56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60" w:h="7531" w:wrap="none" w:vAnchor="page" w:hAnchor="page" w:x="1030" w:y="1174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60" w:h="7531" w:wrap="none" w:vAnchor="page" w:hAnchor="page" w:x="1030" w:y="1174"/>
              <w:rPr>
                <w:rFonts w:ascii="Times New Roman" w:hAnsi="Times New Roman" w:cs="Times New Roman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3B2B5E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52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питань. Структурні підрозділи селищної ради по своїх напрямках</w:t>
            </w:r>
          </w:p>
        </w:tc>
      </w:tr>
      <w:tr w:rsidR="00E26518" w:rsidRPr="00466F20" w:rsidTr="00E96E74">
        <w:trPr>
          <w:trHeight w:hRule="exact" w:val="418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VII. ПРОГНОЗ РЕЗУЛЬТАТІВ</w:t>
            </w:r>
          </w:p>
        </w:tc>
      </w:tr>
      <w:tr w:rsidR="00E26518" w:rsidRPr="00466F20" w:rsidTr="003B2B5E"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60" w:h="7531" w:wrap="none" w:vAnchor="page" w:hAnchor="page" w:x="1030" w:y="1174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60" w:h="7531" w:wrap="none" w:vAnchor="page" w:hAnchor="page" w:x="1030" w:y="1174"/>
              <w:rPr>
                <w:rFonts w:ascii="Times New Roman" w:hAnsi="Times New Roman" w:cs="Times New Roman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3B2B5E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tabs>
                <w:tab w:val="left" w:pos="9826"/>
              </w:tabs>
              <w:spacing w:after="0" w:line="283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питань. Структурні підрозділи селищної ради по своїх напрямках</w:t>
            </w:r>
            <w:r w:rsidRPr="00466F2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E26518" w:rsidRPr="00466F20">
              <w:rPr>
                <w:color w:val="000000"/>
                <w:sz w:val="24"/>
                <w:szCs w:val="24"/>
                <w:lang w:eastAsia="uk-UA" w:bidi="uk-UA"/>
              </w:rPr>
              <w:tab/>
              <w:t>.... ф</w:t>
            </w:r>
          </w:p>
        </w:tc>
      </w:tr>
      <w:tr w:rsidR="00E26518" w:rsidRPr="00466F20" w:rsidTr="00E96E74">
        <w:trPr>
          <w:trHeight w:hRule="exact" w:val="42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60" w:h="7531" w:wrap="none" w:vAnchor="page" w:hAnchor="page" w:x="1030" w:y="1174"/>
              <w:rPr>
                <w:rFonts w:ascii="Times New Roman" w:hAnsi="Times New Roman" w:cs="Times New Roman"/>
              </w:rPr>
            </w:pPr>
          </w:p>
        </w:tc>
        <w:tc>
          <w:tcPr>
            <w:tcW w:w="10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518" w:rsidRPr="00466F20" w:rsidRDefault="00E26518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F2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VIII. КООРДИНАЦІЯ ТА КОНТРОЛЬ ЗА ХОДОМ ВИКОНАННЯ ПРОГРАМИ</w:t>
            </w:r>
          </w:p>
          <w:p w:rsidR="00E26518" w:rsidRPr="00466F20" w:rsidRDefault="00E26518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tabs>
                <w:tab w:val="left" w:leader="hyphen" w:pos="566"/>
              </w:tabs>
              <w:spacing w:after="0" w:line="18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26518" w:rsidRPr="00466F20" w:rsidTr="00E96E74">
        <w:trPr>
          <w:trHeight w:hRule="exact" w:val="121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60" w:h="7531" w:wrap="none" w:vAnchor="page" w:hAnchor="page" w:x="1030" w:y="1174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518" w:rsidRPr="00466F20" w:rsidRDefault="00E26518" w:rsidP="001C09EF">
            <w:pPr>
              <w:framePr w:w="14760" w:h="7531" w:wrap="none" w:vAnchor="page" w:hAnchor="page" w:x="1030" w:y="1174"/>
              <w:rPr>
                <w:rFonts w:ascii="Times New Roman" w:hAnsi="Times New Roman" w:cs="Times New Roman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18" w:rsidRPr="00466F20" w:rsidRDefault="003B2B5E" w:rsidP="001C09EF">
            <w:pPr>
              <w:pStyle w:val="a5"/>
              <w:framePr w:w="14760" w:h="7531" w:wrap="none" w:vAnchor="page" w:hAnchor="page" w:x="1030" w:y="1174"/>
              <w:shd w:val="clear" w:color="auto" w:fill="auto"/>
              <w:spacing w:after="0" w:line="283" w:lineRule="auto"/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Спеціаліст з інвестиційних та соціально-економічних питань</w:t>
            </w:r>
          </w:p>
        </w:tc>
      </w:tr>
    </w:tbl>
    <w:p w:rsidR="00775C16" w:rsidRDefault="00775C16"/>
    <w:sectPr w:rsidR="00775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33"/>
    <w:rsid w:val="00040C66"/>
    <w:rsid w:val="000C0EDD"/>
    <w:rsid w:val="000C447B"/>
    <w:rsid w:val="001F5488"/>
    <w:rsid w:val="003111A2"/>
    <w:rsid w:val="00390CA9"/>
    <w:rsid w:val="003A75D4"/>
    <w:rsid w:val="003B2B5E"/>
    <w:rsid w:val="00466F20"/>
    <w:rsid w:val="004A4436"/>
    <w:rsid w:val="004B6BA2"/>
    <w:rsid w:val="004C2A59"/>
    <w:rsid w:val="0052067C"/>
    <w:rsid w:val="00577C13"/>
    <w:rsid w:val="005823B4"/>
    <w:rsid w:val="005F29DB"/>
    <w:rsid w:val="00665E86"/>
    <w:rsid w:val="006B0636"/>
    <w:rsid w:val="006E48DB"/>
    <w:rsid w:val="00704F64"/>
    <w:rsid w:val="007153C7"/>
    <w:rsid w:val="00775C16"/>
    <w:rsid w:val="00784ECC"/>
    <w:rsid w:val="007F27A1"/>
    <w:rsid w:val="008A02AD"/>
    <w:rsid w:val="008F737A"/>
    <w:rsid w:val="00983C87"/>
    <w:rsid w:val="00986F3C"/>
    <w:rsid w:val="00AC7973"/>
    <w:rsid w:val="00D05433"/>
    <w:rsid w:val="00D640A5"/>
    <w:rsid w:val="00DD6ACF"/>
    <w:rsid w:val="00E26518"/>
    <w:rsid w:val="00E96E74"/>
    <w:rsid w:val="00ED685E"/>
    <w:rsid w:val="00EE25D0"/>
    <w:rsid w:val="00F357EC"/>
    <w:rsid w:val="00FB3944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65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E265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E265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E26518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4">
    <w:name w:val="Другое_"/>
    <w:basedOn w:val="a0"/>
    <w:link w:val="a5"/>
    <w:rsid w:val="00E265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E26518"/>
    <w:pPr>
      <w:shd w:val="clear" w:color="auto" w:fill="FFFFFF"/>
      <w:spacing w:after="130" w:line="254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E26518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E26518"/>
    <w:pPr>
      <w:shd w:val="clear" w:color="auto" w:fill="FFFFFF"/>
      <w:ind w:left="32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a5">
    <w:name w:val="Другое"/>
    <w:basedOn w:val="a"/>
    <w:link w:val="a4"/>
    <w:rsid w:val="00E26518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65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E265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E265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E26518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4">
    <w:name w:val="Другое_"/>
    <w:basedOn w:val="a0"/>
    <w:link w:val="a5"/>
    <w:rsid w:val="00E265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E26518"/>
    <w:pPr>
      <w:shd w:val="clear" w:color="auto" w:fill="FFFFFF"/>
      <w:spacing w:after="130" w:line="254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E26518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E26518"/>
    <w:pPr>
      <w:shd w:val="clear" w:color="auto" w:fill="FFFFFF"/>
      <w:ind w:left="32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a5">
    <w:name w:val="Другое"/>
    <w:basedOn w:val="a"/>
    <w:link w:val="a4"/>
    <w:rsid w:val="00E26518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3659-4D1F-4088-9791-9D6F8010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dcterms:created xsi:type="dcterms:W3CDTF">2024-10-10T07:37:00Z</dcterms:created>
  <dcterms:modified xsi:type="dcterms:W3CDTF">2024-10-10T13:26:00Z</dcterms:modified>
</cp:coreProperties>
</file>