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94" w:rsidRDefault="00835694" w:rsidP="00835694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76D29D" wp14:editId="117ABBD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35694" w:rsidRDefault="00835694" w:rsidP="00835694">
      <w:pPr>
        <w:jc w:val="center"/>
        <w:rPr>
          <w:b/>
          <w:sz w:val="24"/>
          <w:szCs w:val="24"/>
        </w:rPr>
      </w:pPr>
    </w:p>
    <w:p w:rsidR="0083569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Default="00835694" w:rsidP="00835694">
      <w:pPr>
        <w:jc w:val="center"/>
        <w:rPr>
          <w:sz w:val="24"/>
          <w:szCs w:val="24"/>
        </w:rPr>
      </w:pPr>
    </w:p>
    <w:p w:rsidR="00835694" w:rsidRPr="00612023" w:rsidRDefault="00612023" w:rsidP="00835694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C36324">
        <w:rPr>
          <w:sz w:val="24"/>
          <w:szCs w:val="24"/>
        </w:rPr>
        <w:t xml:space="preserve">жовтня </w:t>
      </w:r>
      <w:r w:rsidR="00835694">
        <w:rPr>
          <w:sz w:val="24"/>
          <w:szCs w:val="24"/>
        </w:rPr>
        <w:t>2024 року</w:t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</w:r>
      <w:r w:rsidR="00835694">
        <w:rPr>
          <w:sz w:val="24"/>
          <w:szCs w:val="24"/>
        </w:rPr>
        <w:tab/>
        <w:t>№</w:t>
      </w:r>
      <w:r>
        <w:rPr>
          <w:sz w:val="24"/>
          <w:szCs w:val="24"/>
        </w:rPr>
        <w:t>288</w:t>
      </w:r>
    </w:p>
    <w:p w:rsidR="00835694" w:rsidRPr="00CB5CB1" w:rsidRDefault="00835694" w:rsidP="00835694">
      <w:pPr>
        <w:jc w:val="center"/>
        <w:rPr>
          <w:b/>
          <w:sz w:val="24"/>
          <w:szCs w:val="24"/>
        </w:rPr>
      </w:pPr>
    </w:p>
    <w:p w:rsidR="00693CF4" w:rsidRDefault="00835694" w:rsidP="008356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6A4E66">
        <w:rPr>
          <w:b/>
          <w:sz w:val="24"/>
          <w:szCs w:val="24"/>
        </w:rPr>
        <w:t>оновлення матеріального</w:t>
      </w:r>
      <w:r>
        <w:rPr>
          <w:b/>
          <w:sz w:val="24"/>
          <w:szCs w:val="24"/>
        </w:rPr>
        <w:t xml:space="preserve"> ре</w:t>
      </w:r>
      <w:r w:rsidR="00DE1230">
        <w:rPr>
          <w:b/>
          <w:sz w:val="24"/>
          <w:szCs w:val="24"/>
        </w:rPr>
        <w:t>зерв</w:t>
      </w:r>
      <w:r w:rsidR="006A4E66">
        <w:rPr>
          <w:b/>
          <w:sz w:val="24"/>
          <w:szCs w:val="24"/>
        </w:rPr>
        <w:t>у</w:t>
      </w:r>
      <w:r w:rsidR="00DE1230">
        <w:rPr>
          <w:b/>
          <w:sz w:val="24"/>
          <w:szCs w:val="24"/>
        </w:rPr>
        <w:t xml:space="preserve"> для запобігання виникненню</w:t>
      </w:r>
      <w:r>
        <w:rPr>
          <w:b/>
          <w:sz w:val="24"/>
          <w:szCs w:val="24"/>
        </w:rPr>
        <w:t xml:space="preserve"> надзвичайних ситуацій і ліквідації їх наслідків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  <w:r w:rsidR="00C36324">
        <w:rPr>
          <w:b/>
          <w:sz w:val="24"/>
          <w:szCs w:val="24"/>
        </w:rPr>
        <w:t>селищної територіальної громади</w:t>
      </w:r>
    </w:p>
    <w:p w:rsidR="0007082E" w:rsidRDefault="0007082E" w:rsidP="0007082E">
      <w:pPr>
        <w:jc w:val="both"/>
        <w:rPr>
          <w:b/>
          <w:sz w:val="24"/>
          <w:szCs w:val="24"/>
        </w:rPr>
      </w:pPr>
    </w:p>
    <w:p w:rsidR="0007082E" w:rsidRDefault="0007082E" w:rsidP="000708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Відповідно до статті 98</w:t>
      </w:r>
      <w:r w:rsidR="00DE1230">
        <w:rPr>
          <w:sz w:val="24"/>
          <w:szCs w:val="24"/>
        </w:rPr>
        <w:t xml:space="preserve"> Кодексу цивільного захисту України, закону України «Про внесення змін до деяких законодавчих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охорони життя та здоров’я громадян», постанови Кабінету Міністрів України від 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наказу Міністерства внутрішніх справ України від 05 березня 2024 року </w:t>
      </w:r>
      <w:r w:rsidR="00263C2E">
        <w:rPr>
          <w:sz w:val="24"/>
          <w:szCs w:val="24"/>
        </w:rPr>
        <w:t>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затвердженого в Міністерстві юстиції України 03 квітня 2024 року за № 484/41829, на виконання розпорядження голови Кіровоградської обласної державної</w:t>
      </w:r>
      <w:r w:rsidR="003413E9">
        <w:rPr>
          <w:sz w:val="24"/>
          <w:szCs w:val="24"/>
        </w:rPr>
        <w:t xml:space="preserve"> адміністрації від 01 липня 2024 року № 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наслідків» та з метою запобігання виникненню надзвичайних ситуацій, ліквідації їх наслідків та надання термінової допомоги постраждалим, виконавчий комітет селищної ради</w:t>
      </w:r>
    </w:p>
    <w:p w:rsidR="003413E9" w:rsidRDefault="003413E9" w:rsidP="0007082E">
      <w:pPr>
        <w:jc w:val="both"/>
        <w:rPr>
          <w:sz w:val="24"/>
          <w:szCs w:val="24"/>
        </w:rPr>
      </w:pPr>
    </w:p>
    <w:p w:rsidR="00C36324" w:rsidRDefault="00C36324" w:rsidP="00C36324">
      <w:pPr>
        <w:ind w:left="3540" w:hanging="3540"/>
        <w:jc w:val="both"/>
        <w:rPr>
          <w:sz w:val="24"/>
          <w:szCs w:val="24"/>
        </w:rPr>
      </w:pPr>
      <w:r w:rsidRPr="00C36324">
        <w:rPr>
          <w:sz w:val="24"/>
          <w:szCs w:val="24"/>
        </w:rPr>
        <w:t>В И Р І Ш И В:</w:t>
      </w:r>
    </w:p>
    <w:p w:rsidR="003413E9" w:rsidRPr="004123F5" w:rsidRDefault="004123F5" w:rsidP="004123F5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123F5">
        <w:rPr>
          <w:sz w:val="24"/>
          <w:szCs w:val="24"/>
        </w:rPr>
        <w:t>Затвердити:</w:t>
      </w:r>
    </w:p>
    <w:p w:rsidR="004123F5" w:rsidRDefault="004123F5" w:rsidP="004123F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створення та використання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(далі </w:t>
      </w:r>
      <w:proofErr w:type="spellStart"/>
      <w:r>
        <w:rPr>
          <w:sz w:val="24"/>
          <w:szCs w:val="24"/>
        </w:rPr>
        <w:t>–Порядок</w:t>
      </w:r>
      <w:proofErr w:type="spellEnd"/>
      <w:r>
        <w:rPr>
          <w:sz w:val="24"/>
          <w:szCs w:val="24"/>
        </w:rPr>
        <w:t>), що додається</w:t>
      </w:r>
      <w:r w:rsidR="00A84D12">
        <w:rPr>
          <w:sz w:val="24"/>
          <w:szCs w:val="24"/>
        </w:rPr>
        <w:t xml:space="preserve"> (додаток 1)</w:t>
      </w:r>
      <w:r>
        <w:rPr>
          <w:sz w:val="24"/>
          <w:szCs w:val="24"/>
        </w:rPr>
        <w:t>;</w:t>
      </w:r>
    </w:p>
    <w:p w:rsidR="004123F5" w:rsidRDefault="004123F5" w:rsidP="004123F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номенклатуру та обсяги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</w:t>
      </w:r>
      <w:r w:rsidR="00A84D12">
        <w:rPr>
          <w:sz w:val="24"/>
          <w:szCs w:val="24"/>
        </w:rPr>
        <w:t>ериторіальної громади (додаток 2</w:t>
      </w:r>
      <w:r>
        <w:rPr>
          <w:sz w:val="24"/>
          <w:szCs w:val="24"/>
        </w:rPr>
        <w:t>).</w:t>
      </w:r>
    </w:p>
    <w:p w:rsidR="00D5555A" w:rsidRDefault="00D5555A" w:rsidP="00D5555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відповідальним за створення матеріального резерву спеціаліста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D5555A" w:rsidRDefault="00D5555A" w:rsidP="00D5555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Створити матеріальний резерв:</w:t>
      </w:r>
    </w:p>
    <w:p w:rsidR="00D5555A" w:rsidRDefault="00C05A71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5555A">
        <w:rPr>
          <w:sz w:val="24"/>
          <w:szCs w:val="24"/>
        </w:rPr>
        <w:t xml:space="preserve">родовольчих </w:t>
      </w:r>
      <w:r>
        <w:rPr>
          <w:sz w:val="24"/>
          <w:szCs w:val="24"/>
        </w:rPr>
        <w:t>товарів, предметів гігієни, засобів першої медичної допомоги, предметів першої необхідності – на складах підприємств – постачальників відповідно до укладених угод;</w:t>
      </w:r>
    </w:p>
    <w:p w:rsidR="00C05A71" w:rsidRDefault="00C05A71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засобів для забезпечення аварійно-відновлювальних та пошукових робіт, будівельних та інших матеріалів </w:t>
      </w:r>
      <w:r w:rsidR="00AD14D5">
        <w:rPr>
          <w:sz w:val="24"/>
          <w:szCs w:val="24"/>
        </w:rPr>
        <w:t>– на складах підприємств-постачальників відповідно до укладених угод;</w:t>
      </w:r>
    </w:p>
    <w:p w:rsidR="00AD14D5" w:rsidRDefault="00AD14D5" w:rsidP="00D5555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пально-мастильних матеріалів – на складах підприємств-постачальників відповідно укладених угод.</w:t>
      </w:r>
    </w:p>
    <w:p w:rsidR="00557A9E" w:rsidRDefault="00557A9E" w:rsidP="00557A9E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="00B75F95">
        <w:rPr>
          <w:sz w:val="24"/>
          <w:szCs w:val="24"/>
        </w:rPr>
        <w:t>Смолінської</w:t>
      </w:r>
      <w:proofErr w:type="spellEnd"/>
      <w:r w:rsidR="00B75F95">
        <w:rPr>
          <w:sz w:val="24"/>
          <w:szCs w:val="24"/>
        </w:rPr>
        <w:t xml:space="preserve"> селищної ради:</w:t>
      </w:r>
    </w:p>
    <w:p w:rsidR="00B75F95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здійснювати накопичення матеріальних резервів згідно з номенклатурою, затвердженою даним рішенням;</w:t>
      </w:r>
    </w:p>
    <w:p w:rsidR="00B75F95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місця та порядок зберігання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громади;</w:t>
      </w:r>
    </w:p>
    <w:p w:rsidR="005F0A3F" w:rsidRDefault="00B75F95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зберігання, облік та поновлення матеріальних цінностей </w:t>
      </w:r>
      <w:r w:rsidR="005F0A3F">
        <w:rPr>
          <w:sz w:val="24"/>
          <w:szCs w:val="24"/>
        </w:rPr>
        <w:t xml:space="preserve">резерву </w:t>
      </w:r>
      <w:proofErr w:type="spellStart"/>
      <w:r w:rsidR="005F0A3F">
        <w:rPr>
          <w:sz w:val="24"/>
          <w:szCs w:val="24"/>
        </w:rPr>
        <w:t>Смолінської</w:t>
      </w:r>
      <w:proofErr w:type="spellEnd"/>
      <w:r w:rsidR="005F0A3F">
        <w:rPr>
          <w:sz w:val="24"/>
          <w:szCs w:val="24"/>
        </w:rPr>
        <w:t xml:space="preserve"> селищної територіальної громади згідно з вимогами порядку;</w:t>
      </w:r>
    </w:p>
    <w:p w:rsidR="00B75F95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доповідати голові постійної комісії з питань техногенно-екологічної безпеки та надзвичайних ситуацій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проведену, відповідну з даним рішенням, роботу;</w:t>
      </w:r>
    </w:p>
    <w:p w:rsidR="005F0A3F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копію затвердженої номенклатури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до управління з питань цивільного захисту, оборонної роботи та взаємодії з правоохоронними органами Кіровоградської обласної державної адміністрації;</w:t>
      </w:r>
    </w:p>
    <w:p w:rsidR="005F0A3F" w:rsidRDefault="005F0A3F" w:rsidP="00B75F95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про стан накопичення та вик</w:t>
      </w:r>
      <w:r w:rsidR="007E24C7">
        <w:rPr>
          <w:sz w:val="24"/>
          <w:szCs w:val="24"/>
        </w:rPr>
        <w:t xml:space="preserve">ористання матеріальних цінностей до матеріального резерву </w:t>
      </w:r>
      <w:proofErr w:type="spellStart"/>
      <w:r w:rsidR="007E24C7">
        <w:rPr>
          <w:sz w:val="24"/>
          <w:szCs w:val="24"/>
        </w:rPr>
        <w:t>Смолінської</w:t>
      </w:r>
      <w:proofErr w:type="spellEnd"/>
      <w:r w:rsidR="007E24C7">
        <w:rPr>
          <w:sz w:val="24"/>
          <w:szCs w:val="24"/>
        </w:rPr>
        <w:t xml:space="preserve"> селищної територіальної громади надавати до 25 числа останнього місяця кварталу управлінню з питань цивільного захисту</w:t>
      </w:r>
      <w:r w:rsidR="00186BE3">
        <w:rPr>
          <w:sz w:val="24"/>
          <w:szCs w:val="24"/>
        </w:rPr>
        <w:t>, оборонної роботи та взаємодії з правоохоронними органами Кіровоградської</w:t>
      </w:r>
      <w:r w:rsidR="00C45A64">
        <w:rPr>
          <w:sz w:val="24"/>
          <w:szCs w:val="24"/>
        </w:rPr>
        <w:t xml:space="preserve"> обласної державн</w:t>
      </w:r>
      <w:r w:rsidR="00186BE3">
        <w:rPr>
          <w:sz w:val="24"/>
          <w:szCs w:val="24"/>
        </w:rPr>
        <w:t>ої адміністрації</w:t>
      </w:r>
      <w:r w:rsidR="00237018">
        <w:rPr>
          <w:sz w:val="24"/>
          <w:szCs w:val="24"/>
        </w:rPr>
        <w:t>, за формою 10/1 резерв відповідно до Примірного табеля термінових та строкових донесень.</w:t>
      </w:r>
    </w:p>
    <w:p w:rsidR="00237018" w:rsidRDefault="00237018" w:rsidP="0023701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</w:t>
      </w:r>
      <w:r w:rsidR="00612023">
        <w:rPr>
          <w:sz w:val="24"/>
          <w:szCs w:val="24"/>
        </w:rPr>
        <w:t xml:space="preserve">ної ради під час формування </w:t>
      </w:r>
      <w:proofErr w:type="spellStart"/>
      <w:r w:rsidR="00612023">
        <w:rPr>
          <w:sz w:val="24"/>
          <w:szCs w:val="24"/>
        </w:rPr>
        <w:t>проє</w:t>
      </w:r>
      <w:r>
        <w:rPr>
          <w:sz w:val="24"/>
          <w:szCs w:val="24"/>
        </w:rPr>
        <w:t>кту</w:t>
      </w:r>
      <w:proofErr w:type="spellEnd"/>
      <w:r>
        <w:rPr>
          <w:sz w:val="24"/>
          <w:szCs w:val="24"/>
        </w:rPr>
        <w:t xml:space="preserve"> бюджету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відповідний бюджетний рік передбачити видатки на створення матеріального резерву, згідно Програми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:rsidR="00C50FB1" w:rsidRDefault="00C50FB1" w:rsidP="00237018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Визнати таким, що втратило  чинність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 березня 2022 року № 44</w:t>
      </w:r>
      <w:r w:rsidR="005B57E2">
        <w:rPr>
          <w:sz w:val="24"/>
          <w:szCs w:val="24"/>
        </w:rPr>
        <w:t xml:space="preserve"> « Про створення та використання місцевого матеріального резерву </w:t>
      </w:r>
      <w:proofErr w:type="spellStart"/>
      <w:r w:rsidR="005B57E2">
        <w:rPr>
          <w:sz w:val="24"/>
          <w:szCs w:val="24"/>
        </w:rPr>
        <w:t>Смолінської</w:t>
      </w:r>
      <w:proofErr w:type="spellEnd"/>
      <w:r w:rsidR="005B57E2">
        <w:rPr>
          <w:sz w:val="24"/>
          <w:szCs w:val="24"/>
        </w:rPr>
        <w:t xml:space="preserve"> селищної територіальної громади для запобігання і ліквідації наслідків надзвичайних ситуацій, визначення </w:t>
      </w:r>
      <w:r w:rsidR="00C216C4">
        <w:rPr>
          <w:sz w:val="24"/>
          <w:szCs w:val="24"/>
        </w:rPr>
        <w:t>та затвердження його номенклатури, обсягів та місця розміщення».</w:t>
      </w:r>
    </w:p>
    <w:p w:rsidR="00C216C4" w:rsidRPr="00A84D12" w:rsidRDefault="00A84D12" w:rsidP="00C216C4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A84D12">
        <w:rPr>
          <w:sz w:val="24"/>
          <w:szCs w:val="24"/>
        </w:rPr>
        <w:t>Координацію за виконанням заходів Програми, ефективним та цільовим використанням коштів їх виконавцями здійснює виконавчий комітет селищної ради , контроль – Постійна комісія з питань планування, фінансів, бюджету, соціально-економічного розвитку,</w:t>
      </w:r>
      <w:r>
        <w:rPr>
          <w:sz w:val="24"/>
          <w:szCs w:val="24"/>
        </w:rPr>
        <w:t xml:space="preserve"> </w:t>
      </w:r>
      <w:r w:rsidRPr="00A84D12">
        <w:rPr>
          <w:sz w:val="24"/>
          <w:szCs w:val="24"/>
        </w:rPr>
        <w:t>інвестиційної діяльності та регуляторної політики .</w:t>
      </w: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sz w:val="24"/>
          <w:szCs w:val="24"/>
        </w:rPr>
      </w:pPr>
    </w:p>
    <w:p w:rsidR="00A84D12" w:rsidRDefault="00A84D12" w:rsidP="00C216C4">
      <w:pPr>
        <w:jc w:val="both"/>
        <w:rPr>
          <w:sz w:val="24"/>
          <w:szCs w:val="24"/>
        </w:rPr>
      </w:pPr>
    </w:p>
    <w:p w:rsidR="00C216C4" w:rsidRDefault="00C216C4" w:rsidP="00C216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A84D12" w:rsidRDefault="00A84D12" w:rsidP="00C216C4">
      <w:pPr>
        <w:jc w:val="both"/>
        <w:rPr>
          <w:b/>
          <w:sz w:val="24"/>
          <w:szCs w:val="24"/>
        </w:rPr>
      </w:pPr>
    </w:p>
    <w:p w:rsidR="00947C20" w:rsidRDefault="00947C20" w:rsidP="00C216C4">
      <w:pPr>
        <w:jc w:val="both"/>
        <w:rPr>
          <w:b/>
          <w:sz w:val="24"/>
          <w:szCs w:val="24"/>
        </w:rPr>
      </w:pPr>
    </w:p>
    <w:p w:rsidR="00A84D12" w:rsidRDefault="00947C20" w:rsidP="00C216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4D12">
        <w:rPr>
          <w:b/>
          <w:sz w:val="24"/>
          <w:szCs w:val="24"/>
        </w:rPr>
        <w:t>Додаток 1</w:t>
      </w:r>
    </w:p>
    <w:p w:rsidR="00A84D12" w:rsidRDefault="00A84D12" w:rsidP="00C216C4">
      <w:pPr>
        <w:jc w:val="both"/>
        <w:rPr>
          <w:b/>
          <w:sz w:val="24"/>
          <w:szCs w:val="24"/>
        </w:rPr>
      </w:pPr>
    </w:p>
    <w:p w:rsidR="00947C20" w:rsidRDefault="00947C20" w:rsidP="00A84D1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A84D12" w:rsidRDefault="00A84D12" w:rsidP="00C216C4">
      <w:pPr>
        <w:jc w:val="both"/>
        <w:rPr>
          <w:sz w:val="24"/>
          <w:szCs w:val="24"/>
        </w:rPr>
      </w:pP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4D12">
        <w:rPr>
          <w:sz w:val="24"/>
          <w:szCs w:val="24"/>
        </w:rPr>
        <w:t>Рішення</w:t>
      </w:r>
      <w:r>
        <w:rPr>
          <w:sz w:val="24"/>
          <w:szCs w:val="24"/>
        </w:rPr>
        <w:t xml:space="preserve"> виконавчого комітету</w:t>
      </w: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:rsidR="00947C20" w:rsidRDefault="00947C20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0E78">
        <w:rPr>
          <w:sz w:val="24"/>
          <w:szCs w:val="24"/>
        </w:rPr>
        <w:t>ві</w:t>
      </w:r>
      <w:r w:rsidR="00A84D12">
        <w:rPr>
          <w:sz w:val="24"/>
          <w:szCs w:val="24"/>
        </w:rPr>
        <w:t xml:space="preserve">д 10 жовтня 2024 року </w:t>
      </w:r>
      <w:r w:rsidR="00470E78">
        <w:rPr>
          <w:sz w:val="24"/>
          <w:szCs w:val="24"/>
        </w:rPr>
        <w:t>№</w:t>
      </w:r>
      <w:r w:rsidR="00A84D12">
        <w:rPr>
          <w:sz w:val="24"/>
          <w:szCs w:val="24"/>
        </w:rPr>
        <w:t>288</w:t>
      </w:r>
    </w:p>
    <w:p w:rsidR="00470E78" w:rsidRDefault="00470E78" w:rsidP="00C216C4">
      <w:pPr>
        <w:jc w:val="both"/>
        <w:rPr>
          <w:sz w:val="24"/>
          <w:szCs w:val="24"/>
        </w:rPr>
      </w:pPr>
    </w:p>
    <w:p w:rsidR="00470E78" w:rsidRDefault="00470E78" w:rsidP="00470E78">
      <w:pPr>
        <w:rPr>
          <w:sz w:val="24"/>
          <w:szCs w:val="24"/>
        </w:rPr>
      </w:pPr>
    </w:p>
    <w:p w:rsidR="00470E78" w:rsidRDefault="00470E78" w:rsidP="00470E78">
      <w:pPr>
        <w:keepNext/>
        <w:keepLines/>
        <w:ind w:left="3540" w:firstLine="708"/>
        <w:rPr>
          <w:b/>
          <w:sz w:val="24"/>
          <w:szCs w:val="24"/>
          <w:lang w:eastAsia="en-US" w:bidi="en-US"/>
        </w:rPr>
      </w:pPr>
      <w:bookmarkStart w:id="0" w:name="_Hlk169165386"/>
      <w:r>
        <w:rPr>
          <w:b/>
          <w:sz w:val="24"/>
          <w:szCs w:val="24"/>
          <w:lang w:eastAsia="en-US" w:bidi="en-US"/>
        </w:rPr>
        <w:t>ПОРЯДОК</w:t>
      </w:r>
    </w:p>
    <w:p w:rsidR="00470E78" w:rsidRPr="00470E78" w:rsidRDefault="00470E78" w:rsidP="006208C4">
      <w:pPr>
        <w:keepNext/>
        <w:keepLines/>
        <w:jc w:val="center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створення та використання місцевого матеріального резерву</w:t>
      </w:r>
    </w:p>
    <w:p w:rsidR="00470E78" w:rsidRPr="00470E78" w:rsidRDefault="00470E78" w:rsidP="00470E78">
      <w:pPr>
        <w:keepNext/>
        <w:keepLines/>
        <w:ind w:left="2124"/>
        <w:rPr>
          <w:b/>
          <w:sz w:val="24"/>
          <w:szCs w:val="24"/>
          <w:lang w:eastAsia="en-US" w:bidi="en-US"/>
        </w:rPr>
      </w:pPr>
      <w:r w:rsidRPr="00470E78">
        <w:rPr>
          <w:b/>
          <w:sz w:val="24"/>
          <w:szCs w:val="24"/>
          <w:lang w:eastAsia="en-US" w:bidi="en-US"/>
        </w:rPr>
        <w:t>для запобігання виникненню надзви</w:t>
      </w:r>
      <w:r>
        <w:rPr>
          <w:b/>
          <w:sz w:val="24"/>
          <w:szCs w:val="24"/>
          <w:lang w:eastAsia="en-US" w:bidi="en-US"/>
        </w:rPr>
        <w:t xml:space="preserve">чайних ситуацій і ліквідації їх </w:t>
      </w:r>
      <w:r w:rsidRPr="00470E78">
        <w:rPr>
          <w:b/>
          <w:sz w:val="24"/>
          <w:szCs w:val="24"/>
          <w:lang w:eastAsia="en-US" w:bidi="en-US"/>
        </w:rPr>
        <w:t xml:space="preserve">наслідків </w:t>
      </w:r>
      <w:proofErr w:type="spellStart"/>
      <w:r>
        <w:rPr>
          <w:b/>
          <w:sz w:val="24"/>
          <w:szCs w:val="24"/>
          <w:lang w:eastAsia="en-US" w:bidi="en-US"/>
        </w:rPr>
        <w:t>Смолінської</w:t>
      </w:r>
      <w:proofErr w:type="spellEnd"/>
      <w:r w:rsidRPr="00470E78">
        <w:rPr>
          <w:b/>
          <w:sz w:val="24"/>
          <w:szCs w:val="24"/>
          <w:lang w:eastAsia="en-US" w:bidi="en-US"/>
        </w:rPr>
        <w:t xml:space="preserve"> </w:t>
      </w:r>
      <w:r>
        <w:rPr>
          <w:b/>
          <w:sz w:val="24"/>
          <w:szCs w:val="24"/>
          <w:lang w:eastAsia="en-US" w:bidi="en-US"/>
        </w:rPr>
        <w:t>селищн</w:t>
      </w:r>
      <w:r w:rsidRPr="00470E78">
        <w:rPr>
          <w:b/>
          <w:sz w:val="24"/>
          <w:szCs w:val="24"/>
          <w:lang w:eastAsia="en-US" w:bidi="en-US"/>
        </w:rPr>
        <w:t>ої ради</w:t>
      </w:r>
    </w:p>
    <w:bookmarkEnd w:id="0"/>
    <w:p w:rsidR="00470E78" w:rsidRPr="00470E78" w:rsidRDefault="00470E78" w:rsidP="00470E78">
      <w:pPr>
        <w:spacing w:before="120"/>
        <w:ind w:firstLine="567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1. Цей Порядок розроблено відповідно до положень Кодексу цивільного захисту України та постанови Кабінету Міністрів України від 30 вересня         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 (зі змінами), наказу МВС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6208C4">
      <w:pPr>
        <w:widowControl w:val="0"/>
        <w:tabs>
          <w:tab w:val="left" w:pos="1225"/>
        </w:tabs>
        <w:ind w:firstLine="567"/>
        <w:jc w:val="both"/>
        <w:rPr>
          <w:color w:val="000000"/>
          <w:sz w:val="24"/>
          <w:szCs w:val="24"/>
          <w:lang w:eastAsia="uk-UA" w:bidi="uk-UA"/>
        </w:rPr>
      </w:pPr>
      <w:r w:rsidRPr="00470E78">
        <w:rPr>
          <w:sz w:val="24"/>
          <w:szCs w:val="24"/>
          <w:lang w:eastAsia="uk-UA"/>
        </w:rPr>
        <w:t>2. </w:t>
      </w:r>
      <w:r w:rsidRPr="00470E78">
        <w:rPr>
          <w:color w:val="000000"/>
          <w:sz w:val="24"/>
          <w:szCs w:val="24"/>
          <w:lang w:eastAsia="uk-UA" w:bidi="uk-UA"/>
        </w:rPr>
        <w:t>Матеріальний резерв - запас будівельних і пально-мастильних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матеріалів, лікарських засобів та виробів медичного</w:t>
      </w:r>
      <w:r w:rsidRPr="00470E78">
        <w:rPr>
          <w:color w:val="000000"/>
          <w:sz w:val="24"/>
          <w:szCs w:val="24"/>
          <w:lang w:eastAsia="uk-UA" w:bidi="uk-UA"/>
        </w:rPr>
        <w:tab/>
        <w:t>призначення,</w:t>
      </w:r>
      <w:r w:rsidRPr="00470E78">
        <w:rPr>
          <w:sz w:val="24"/>
          <w:szCs w:val="24"/>
          <w:lang w:eastAsia="uk-UA"/>
        </w:rPr>
        <w:t xml:space="preserve"> </w:t>
      </w:r>
      <w:r w:rsidRPr="00470E78">
        <w:rPr>
          <w:color w:val="000000"/>
          <w:sz w:val="24"/>
          <w:szCs w:val="24"/>
          <w:lang w:eastAsia="uk-UA" w:bidi="uk-UA"/>
        </w:rPr>
        <w:t>продовольства,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заходів.</w:t>
      </w:r>
    </w:p>
    <w:p w:rsidR="00470E78" w:rsidRPr="00470E78" w:rsidRDefault="00470E78" w:rsidP="006208C4">
      <w:pPr>
        <w:widowControl w:val="0"/>
        <w:tabs>
          <w:tab w:val="left" w:pos="1225"/>
        </w:tabs>
        <w:ind w:firstLine="567"/>
        <w:jc w:val="both"/>
        <w:rPr>
          <w:sz w:val="24"/>
          <w:szCs w:val="24"/>
          <w:lang w:eastAsia="uk-UA"/>
        </w:rPr>
      </w:pPr>
    </w:p>
    <w:p w:rsidR="00470E78" w:rsidRPr="00470E78" w:rsidRDefault="00470E78" w:rsidP="006208C4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color w:val="000000"/>
          <w:sz w:val="24"/>
          <w:szCs w:val="24"/>
          <w:lang w:eastAsia="uk-UA" w:bidi="uk-UA"/>
        </w:rPr>
        <w:t xml:space="preserve">3. Номенклатура та обсяги </w:t>
      </w:r>
      <w:r w:rsidRPr="00470E78">
        <w:rPr>
          <w:color w:val="000000"/>
          <w:sz w:val="24"/>
          <w:szCs w:val="24"/>
          <w:lang w:eastAsia="en-US" w:bidi="uk-UA"/>
        </w:rPr>
        <w:t xml:space="preserve">місцевого </w:t>
      </w:r>
      <w:r w:rsidRPr="00470E78">
        <w:rPr>
          <w:color w:val="000000"/>
          <w:sz w:val="24"/>
          <w:szCs w:val="24"/>
          <w:lang w:eastAsia="uk-UA" w:bidi="uk-UA"/>
        </w:rPr>
        <w:t xml:space="preserve">матеріального резерву визначається з урахуванням прогнозів ймовірності виникнення надзвичайних ситуацій та їх наслідків та затверджується </w:t>
      </w:r>
      <w:r w:rsidR="006208C4">
        <w:rPr>
          <w:color w:val="000000"/>
          <w:sz w:val="24"/>
          <w:szCs w:val="24"/>
          <w:lang w:eastAsia="en-US" w:bidi="uk-UA"/>
        </w:rPr>
        <w:t>селищн</w:t>
      </w:r>
      <w:r w:rsidRPr="00470E78">
        <w:rPr>
          <w:color w:val="000000"/>
          <w:sz w:val="24"/>
          <w:szCs w:val="24"/>
          <w:lang w:eastAsia="en-US" w:bidi="uk-UA"/>
        </w:rPr>
        <w:t xml:space="preserve">им </w:t>
      </w:r>
      <w:r w:rsidRPr="00470E78">
        <w:rPr>
          <w:color w:val="000000"/>
          <w:sz w:val="24"/>
          <w:szCs w:val="24"/>
          <w:lang w:eastAsia="uk-UA" w:bidi="uk-UA"/>
        </w:rPr>
        <w:t xml:space="preserve">головою </w:t>
      </w:r>
      <w:proofErr w:type="spellStart"/>
      <w:r w:rsidR="006208C4">
        <w:rPr>
          <w:color w:val="000000"/>
          <w:sz w:val="24"/>
          <w:szCs w:val="24"/>
          <w:lang w:eastAsia="en-US" w:bidi="uk-UA"/>
        </w:rPr>
        <w:t>Смолінської</w:t>
      </w:r>
      <w:proofErr w:type="spellEnd"/>
      <w:r w:rsidR="006208C4">
        <w:rPr>
          <w:color w:val="000000"/>
          <w:sz w:val="24"/>
          <w:szCs w:val="24"/>
          <w:lang w:eastAsia="en-US" w:bidi="uk-UA"/>
        </w:rPr>
        <w:t xml:space="preserve"> селищн</w:t>
      </w:r>
      <w:r w:rsidRPr="00470E78">
        <w:rPr>
          <w:color w:val="000000"/>
          <w:sz w:val="24"/>
          <w:szCs w:val="24"/>
          <w:lang w:eastAsia="en-US" w:bidi="uk-UA"/>
        </w:rPr>
        <w:t>ої ради.</w:t>
      </w:r>
      <w:r w:rsidRPr="00470E78">
        <w:rPr>
          <w:sz w:val="24"/>
          <w:szCs w:val="24"/>
          <w:lang w:eastAsia="en-US" w:bidi="en-US"/>
        </w:rPr>
        <w:t xml:space="preserve"> </w:t>
      </w:r>
    </w:p>
    <w:p w:rsidR="00470E78" w:rsidRPr="00470E78" w:rsidRDefault="00470E78" w:rsidP="006208C4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Номенклатура та обсяги накопичення об’єктових резервів затверджується керівниками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4.</w:t>
      </w:r>
      <w:r w:rsidRPr="00470E78">
        <w:rPr>
          <w:sz w:val="24"/>
          <w:szCs w:val="24"/>
          <w:lang w:eastAsia="uk-UA" w:bidi="en-US"/>
        </w:rPr>
        <w:t> Матеріальні р</w:t>
      </w:r>
      <w:r w:rsidRPr="00470E78">
        <w:rPr>
          <w:sz w:val="24"/>
          <w:szCs w:val="24"/>
          <w:lang w:eastAsia="en-US" w:bidi="en-US"/>
        </w:rPr>
        <w:t>езерви створюються:</w:t>
      </w:r>
    </w:p>
    <w:p w:rsidR="00470E78" w:rsidRPr="00470E78" w:rsidRDefault="006208C4" w:rsidP="00470E78">
      <w:pPr>
        <w:ind w:firstLine="567"/>
        <w:jc w:val="both"/>
        <w:rPr>
          <w:sz w:val="24"/>
          <w:szCs w:val="24"/>
          <w:lang w:eastAsia="en-US" w:bidi="en-US"/>
        </w:rPr>
      </w:pPr>
      <w:proofErr w:type="spellStart"/>
      <w:r>
        <w:rPr>
          <w:sz w:val="24"/>
          <w:szCs w:val="24"/>
          <w:lang w:eastAsia="en-US" w:bidi="en-US"/>
        </w:rPr>
        <w:t>Смолін</w:t>
      </w:r>
      <w:r w:rsidR="00470E78" w:rsidRPr="00470E78">
        <w:rPr>
          <w:sz w:val="24"/>
          <w:szCs w:val="24"/>
          <w:lang w:eastAsia="en-US" w:bidi="en-US"/>
        </w:rPr>
        <w:t>ською</w:t>
      </w:r>
      <w:proofErr w:type="spellEnd"/>
      <w:r w:rsidR="00470E78" w:rsidRPr="00470E78"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  <w:lang w:eastAsia="en-US" w:bidi="en-US"/>
        </w:rPr>
        <w:t>селищн</w:t>
      </w:r>
      <w:r w:rsidR="00470E78" w:rsidRPr="00470E78">
        <w:rPr>
          <w:sz w:val="24"/>
          <w:szCs w:val="24"/>
          <w:lang w:eastAsia="en-US" w:bidi="en-US"/>
        </w:rPr>
        <w:t>ою радою — місцевий матеріальний резерв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суб’єктами господарювання, у власності або користуванні яких є об’єкт (об’єкти) підвищеної небезпеки або потенційно небезпечний об’єкт (об’єкти) (далі — підприємства), — об’єктовий матеріальний резерв для запобігання і ліквідації наслідків надзвичайних ситуацій та проведення невідкладних відновлювальних робіт.</w:t>
      </w:r>
      <w:bookmarkStart w:id="1" w:name="_Hlk69729833"/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bookmarkEnd w:id="1"/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5. Створення, утримання та поповнення матеріальних резервів здійснюється: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місцевого — за рахунок коштів місцевого бюджету;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об’єктового — за рахунок власних коштів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Створення, утримання та поповнення матеріальних резервів може здійснюватися також за рахунок добровільних пожертвувань фізичних і юридичних осіб, благодійних організацій та об’єднань громадян, інших не заборонених законодавством джерел.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6. Місця розміщення матеріальних резервів визначаються і затверджуються </w:t>
      </w:r>
      <w:r w:rsidR="006208C4">
        <w:rPr>
          <w:sz w:val="24"/>
          <w:szCs w:val="24"/>
          <w:lang w:eastAsia="en-US" w:bidi="en-US"/>
        </w:rPr>
        <w:t>виконавчим комітетом</w:t>
      </w:r>
      <w:r w:rsidRPr="00470E78">
        <w:rPr>
          <w:sz w:val="24"/>
          <w:szCs w:val="24"/>
          <w:lang w:eastAsia="en-US" w:bidi="en-US"/>
        </w:rPr>
        <w:t xml:space="preserve"> </w:t>
      </w:r>
      <w:proofErr w:type="spellStart"/>
      <w:r w:rsidR="006208C4">
        <w:rPr>
          <w:sz w:val="24"/>
          <w:szCs w:val="24"/>
          <w:lang w:eastAsia="en-US" w:bidi="en-US"/>
        </w:rPr>
        <w:t>Смолінської</w:t>
      </w:r>
      <w:proofErr w:type="spellEnd"/>
      <w:r w:rsidR="006208C4">
        <w:rPr>
          <w:sz w:val="24"/>
          <w:szCs w:val="24"/>
          <w:lang w:eastAsia="en-US" w:bidi="en-US"/>
        </w:rPr>
        <w:t xml:space="preserve">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lastRenderedPageBreak/>
        <w:t xml:space="preserve">Матеріальні резерви розміщуються на об’єктах, призначених або </w:t>
      </w:r>
      <w:r w:rsidR="005F49BE">
        <w:rPr>
          <w:sz w:val="24"/>
          <w:szCs w:val="24"/>
          <w:lang w:eastAsia="en-US" w:bidi="en-US"/>
        </w:rPr>
        <w:t>пристосованих для їх зберігання за рішенням виконавчого комітету</w:t>
      </w:r>
      <w:r w:rsidRPr="00470E78">
        <w:rPr>
          <w:sz w:val="24"/>
          <w:szCs w:val="24"/>
          <w:lang w:eastAsia="en-US" w:bidi="en-US"/>
        </w:rPr>
        <w:t xml:space="preserve"> </w:t>
      </w:r>
      <w:proofErr w:type="spellStart"/>
      <w:r w:rsidR="005F49BE">
        <w:rPr>
          <w:sz w:val="24"/>
          <w:szCs w:val="24"/>
          <w:lang w:eastAsia="en-US" w:bidi="en-US"/>
        </w:rPr>
        <w:t>Смолінської</w:t>
      </w:r>
      <w:proofErr w:type="spellEnd"/>
      <w:r w:rsidR="005F49BE">
        <w:rPr>
          <w:sz w:val="24"/>
          <w:szCs w:val="24"/>
          <w:lang w:eastAsia="en-US" w:bidi="en-US"/>
        </w:rPr>
        <w:t xml:space="preserve"> селищної ради</w:t>
      </w:r>
      <w:r w:rsidRPr="00470E78">
        <w:rPr>
          <w:sz w:val="24"/>
          <w:szCs w:val="24"/>
          <w:lang w:eastAsia="en-US" w:bidi="en-US"/>
        </w:rPr>
        <w:t xml:space="preserve"> з урахуванням оперативної доставки таких резервів до можливих зон надзвичайних ситуацій.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7. Матеріальні цінності, що поставляються до матеріальних резервів, повинні мати сертифікати відповідності у випадках передбачених чинним законодавством на весь нормативний строк їх зберігання.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8.</w:t>
      </w:r>
      <w:r w:rsidRPr="00470E78">
        <w:rPr>
          <w:sz w:val="24"/>
          <w:szCs w:val="24"/>
          <w:lang w:eastAsia="uk-UA" w:bidi="en-US"/>
        </w:rPr>
        <w:t> </w:t>
      </w:r>
      <w:r w:rsidRPr="00470E78">
        <w:rPr>
          <w:sz w:val="24"/>
          <w:szCs w:val="24"/>
          <w:lang w:eastAsia="en-US" w:bidi="en-US"/>
        </w:rPr>
        <w:t>Керівники об’єктів, на балансі яких перебувають матеріальні резерви, повинні щороку проводити перевірку наявності, якості, умов зберігання, готовності до використання матеріальних цінностей.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5F49BE" w:rsidRDefault="00470E78" w:rsidP="005F49BE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>Зберігання та облік матеріальних резервів здійснюється в установленому законодавством порядку.</w:t>
      </w:r>
    </w:p>
    <w:p w:rsidR="00470E78" w:rsidRPr="00470E78" w:rsidRDefault="00470E78" w:rsidP="00470E78">
      <w:pPr>
        <w:ind w:left="786"/>
        <w:jc w:val="both"/>
        <w:rPr>
          <w:sz w:val="24"/>
          <w:szCs w:val="24"/>
          <w:lang w:eastAsia="en-US" w:bidi="en-US"/>
        </w:rPr>
      </w:pPr>
    </w:p>
    <w:p w:rsidR="00470E78" w:rsidRPr="005F49BE" w:rsidRDefault="00470E78" w:rsidP="005F49BE">
      <w:pPr>
        <w:pStyle w:val="a3"/>
        <w:numPr>
          <w:ilvl w:val="0"/>
          <w:numId w:val="5"/>
        </w:numPr>
        <w:tabs>
          <w:tab w:val="left" w:pos="993"/>
        </w:tabs>
        <w:jc w:val="both"/>
        <w:rPr>
          <w:sz w:val="24"/>
          <w:szCs w:val="24"/>
          <w:lang w:eastAsia="en-US" w:bidi="en-US"/>
        </w:rPr>
      </w:pPr>
      <w:r w:rsidRPr="005F49BE">
        <w:rPr>
          <w:sz w:val="24"/>
          <w:szCs w:val="24"/>
          <w:lang w:eastAsia="en-US" w:bidi="en-US"/>
        </w:rPr>
        <w:t xml:space="preserve">Створення та накопичення матеріальних резервів (крім об’єктового) здійснюється за встановленими нормами. </w:t>
      </w:r>
    </w:p>
    <w:p w:rsidR="00470E78" w:rsidRPr="00470E78" w:rsidRDefault="00470E78" w:rsidP="00470E78">
      <w:pPr>
        <w:tabs>
          <w:tab w:val="left" w:pos="993"/>
        </w:tabs>
        <w:jc w:val="both"/>
        <w:rPr>
          <w:sz w:val="24"/>
          <w:szCs w:val="24"/>
          <w:lang w:eastAsia="en-US" w:bidi="en-US"/>
        </w:rPr>
      </w:pPr>
    </w:p>
    <w:p w:rsidR="00470E78" w:rsidRPr="00470E78" w:rsidRDefault="005F49BE" w:rsidP="005F49BE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 </w:t>
      </w:r>
      <w:r w:rsidR="00470E78" w:rsidRPr="00470E78">
        <w:rPr>
          <w:sz w:val="24"/>
          <w:szCs w:val="24"/>
          <w:lang w:eastAsia="en-US" w:bidi="en-US"/>
        </w:rPr>
        <w:t>11.</w:t>
      </w:r>
      <w:r w:rsidR="00470E78" w:rsidRPr="00470E78">
        <w:rPr>
          <w:sz w:val="24"/>
          <w:szCs w:val="24"/>
          <w:lang w:eastAsia="uk-UA" w:bidi="en-US"/>
        </w:rPr>
        <w:t> Матеріальні р</w:t>
      </w:r>
      <w:r w:rsidR="00470E78" w:rsidRPr="00470E78">
        <w:rPr>
          <w:sz w:val="24"/>
          <w:szCs w:val="24"/>
          <w:lang w:eastAsia="en-US" w:bidi="en-US"/>
        </w:rPr>
        <w:t>езерви використовуються виключно для: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здійснення запобіжних заходів у разі загрози виникнення надзвичайних ситуацій;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ліквідації наслідків надзвичайних ситуацій;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проведення невідкладних відновлювальних робіт і заходів;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надання постраждалому населенню необхідної допомоги для забезпечення його життєдіяльності;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розгортання та утримання тимчасових пунктів проживання і харчування постраждалого населення;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</w:t>
      </w:r>
      <w:r w:rsidR="005F49BE">
        <w:rPr>
          <w:sz w:val="24"/>
          <w:szCs w:val="24"/>
          <w:lang w:eastAsia="en-US" w:bidi="en-US"/>
        </w:rPr>
        <w:t xml:space="preserve"> </w:t>
      </w:r>
    </w:p>
    <w:p w:rsidR="00470E78" w:rsidRPr="00470E78" w:rsidRDefault="005F49BE" w:rsidP="005F49BE">
      <w:pPr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</w:t>
      </w:r>
      <w:r w:rsidR="00470E78" w:rsidRPr="00470E78">
        <w:rPr>
          <w:sz w:val="24"/>
          <w:szCs w:val="24"/>
          <w:lang w:eastAsia="en-US" w:bidi="en-US"/>
        </w:rPr>
        <w:t>12.</w:t>
      </w:r>
      <w:r w:rsidR="00470E78" w:rsidRPr="00470E78">
        <w:rPr>
          <w:sz w:val="24"/>
          <w:szCs w:val="24"/>
          <w:lang w:eastAsia="uk-UA" w:bidi="en-US"/>
        </w:rPr>
        <w:t> Матеріальні р</w:t>
      </w:r>
      <w:r w:rsidR="00470E78" w:rsidRPr="00470E78">
        <w:rPr>
          <w:sz w:val="24"/>
          <w:szCs w:val="24"/>
          <w:lang w:eastAsia="en-US" w:bidi="en-US"/>
        </w:rPr>
        <w:t>езерви використовуються відповідно до рівня надзвичайної ситуації, зокрема: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місцевий та об’єктовий — для ліквідації наслідків надзвичайних ситуацій на відповідних територіях та об’єктах.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У разі недостатності матеріального резерву (місцевого та об’єктового) чи його використання у повному обсязі використовується матеріальний резерв вищого рівня.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Залучення матеріального резерву вищого рівня здійснюється за рішенням відповідних органів виконавчої влади.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Використання матеріальних резервів зді</w:t>
      </w:r>
      <w:r w:rsidR="005F49BE">
        <w:rPr>
          <w:sz w:val="24"/>
          <w:szCs w:val="24"/>
          <w:lang w:eastAsia="en-US" w:bidi="en-US"/>
        </w:rPr>
        <w:t>йснюється за 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 w:rsidR="005F49BE">
        <w:rPr>
          <w:sz w:val="24"/>
          <w:szCs w:val="24"/>
          <w:lang w:eastAsia="en-US" w:bidi="en-US"/>
        </w:rPr>
        <w:t>виконавчого комітету селищної ради</w:t>
      </w:r>
      <w:r w:rsidRPr="00470E78">
        <w:rPr>
          <w:sz w:val="24"/>
          <w:szCs w:val="24"/>
          <w:lang w:eastAsia="en-US" w:bidi="en-US"/>
        </w:rPr>
        <w:t xml:space="preserve"> та рішенням керівника підприємства. 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 xml:space="preserve">13. Відпуск матеріальних цінностей з матеріальних резервів для ліквідації наслідків надзвичайних ситуацій здійснюється за </w:t>
      </w:r>
      <w:r w:rsidR="000A1C9F">
        <w:rPr>
          <w:sz w:val="24"/>
          <w:szCs w:val="24"/>
          <w:lang w:eastAsia="en-US" w:bidi="en-US"/>
        </w:rPr>
        <w:t>рішенням</w:t>
      </w:r>
      <w:r w:rsidRPr="00470E78">
        <w:rPr>
          <w:sz w:val="24"/>
          <w:szCs w:val="24"/>
          <w:lang w:eastAsia="en-US" w:bidi="en-US"/>
        </w:rPr>
        <w:t xml:space="preserve"> </w:t>
      </w:r>
      <w:r w:rsidR="000A1C9F">
        <w:rPr>
          <w:sz w:val="24"/>
          <w:szCs w:val="24"/>
          <w:lang w:eastAsia="en-US" w:bidi="en-US"/>
        </w:rPr>
        <w:t xml:space="preserve">виконавчого кабінету селищної ради </w:t>
      </w:r>
      <w:r w:rsidRPr="00470E78">
        <w:rPr>
          <w:sz w:val="24"/>
          <w:szCs w:val="24"/>
          <w:lang w:eastAsia="en-US" w:bidi="en-US"/>
        </w:rPr>
        <w:t>та рішенням керівників підприємств.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14. Відповідальність за створення та використання матеріальних резервів, здійснення контролю за їх наявністю несуть посадові особи органу місцевого самоврядування та керівники підприємств відповідно до Закону.</w:t>
      </w: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</w:p>
    <w:p w:rsidR="00470E78" w:rsidRPr="00470E78" w:rsidRDefault="00470E78" w:rsidP="00470E78">
      <w:pPr>
        <w:ind w:firstLine="567"/>
        <w:jc w:val="both"/>
        <w:rPr>
          <w:sz w:val="24"/>
          <w:szCs w:val="24"/>
          <w:lang w:eastAsia="en-US" w:bidi="en-US"/>
        </w:rPr>
      </w:pPr>
      <w:r w:rsidRPr="00470E78">
        <w:rPr>
          <w:sz w:val="24"/>
          <w:szCs w:val="24"/>
          <w:lang w:eastAsia="en-US" w:bidi="en-US"/>
        </w:rPr>
        <w:t>15. </w:t>
      </w:r>
      <w:r w:rsidRPr="00470E78">
        <w:rPr>
          <w:sz w:val="24"/>
          <w:szCs w:val="24"/>
        </w:rPr>
        <w:t>Управління державної служби з надзвичайних ситуацій України у Кіровоградській області</w:t>
      </w:r>
      <w:r w:rsidRPr="00470E78">
        <w:rPr>
          <w:sz w:val="24"/>
          <w:szCs w:val="24"/>
          <w:lang w:eastAsia="en-US" w:bidi="en-US"/>
        </w:rPr>
        <w:t xml:space="preserve"> здійснює методичне керівництво і контроль за створенням та використанням матеріальних резервів.</w:t>
      </w:r>
    </w:p>
    <w:p w:rsidR="00470E78" w:rsidRPr="00470E78" w:rsidRDefault="00470E78" w:rsidP="00A84D12">
      <w:pPr>
        <w:tabs>
          <w:tab w:val="left" w:pos="720"/>
        </w:tabs>
        <w:rPr>
          <w:sz w:val="24"/>
          <w:szCs w:val="24"/>
        </w:rPr>
      </w:pPr>
    </w:p>
    <w:p w:rsidR="00470E78" w:rsidRDefault="000A1C9F" w:rsidP="00A84D1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Спеціаліст з питань цивільного</w:t>
      </w:r>
    </w:p>
    <w:p w:rsidR="000A1C9F" w:rsidRPr="00470E78" w:rsidRDefault="000A1C9F" w:rsidP="00A84D1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захисту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Олена ПОТАШОВА</w:t>
      </w:r>
    </w:p>
    <w:p w:rsidR="00470E78" w:rsidRPr="00470E78" w:rsidRDefault="00470E78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Default="00470E78" w:rsidP="00470E78">
      <w:pPr>
        <w:shd w:val="clear" w:color="auto" w:fill="FFFFFF"/>
        <w:jc w:val="both"/>
        <w:rPr>
          <w:sz w:val="24"/>
          <w:szCs w:val="24"/>
        </w:rPr>
      </w:pPr>
    </w:p>
    <w:p w:rsidR="00470E78" w:rsidRPr="00A84D12" w:rsidRDefault="00A84D12" w:rsidP="00470E78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4D12">
        <w:rPr>
          <w:b/>
          <w:sz w:val="24"/>
          <w:szCs w:val="24"/>
        </w:rPr>
        <w:t>Додаток 2</w:t>
      </w:r>
    </w:p>
    <w:p w:rsidR="00A84D12" w:rsidRPr="00470E78" w:rsidRDefault="00A84D12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ЗАТВЕРДЖЕНО</w:t>
      </w:r>
    </w:p>
    <w:p w:rsidR="00A84D12" w:rsidRDefault="00A84D12" w:rsidP="008100E2">
      <w:pPr>
        <w:jc w:val="both"/>
        <w:rPr>
          <w:sz w:val="24"/>
          <w:szCs w:val="24"/>
        </w:rPr>
      </w:pPr>
    </w:p>
    <w:p w:rsidR="008100E2" w:rsidRDefault="00A84D1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Рішення</w:t>
      </w:r>
      <w:r w:rsidR="008100E2">
        <w:rPr>
          <w:sz w:val="24"/>
          <w:szCs w:val="24"/>
        </w:rPr>
        <w:t xml:space="preserve"> виконавчого комітету</w:t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</w:p>
    <w:p w:rsidR="008100E2" w:rsidRDefault="008100E2" w:rsidP="008100E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ві</w:t>
      </w:r>
      <w:r w:rsidR="00A84D12">
        <w:rPr>
          <w:sz w:val="24"/>
          <w:szCs w:val="24"/>
        </w:rPr>
        <w:t xml:space="preserve">д 10 жовтня 2024 року </w:t>
      </w:r>
      <w:r>
        <w:rPr>
          <w:sz w:val="24"/>
          <w:szCs w:val="24"/>
        </w:rPr>
        <w:t>№</w:t>
      </w:r>
      <w:r w:rsidR="00A84D12">
        <w:rPr>
          <w:sz w:val="24"/>
          <w:szCs w:val="24"/>
        </w:rPr>
        <w:t>288</w:t>
      </w:r>
    </w:p>
    <w:p w:rsidR="008100E2" w:rsidRDefault="008100E2" w:rsidP="00470E78">
      <w:pPr>
        <w:shd w:val="clear" w:color="auto" w:fill="FFFFFF"/>
        <w:jc w:val="both"/>
        <w:rPr>
          <w:b/>
          <w:sz w:val="24"/>
          <w:szCs w:val="24"/>
        </w:rPr>
      </w:pPr>
    </w:p>
    <w:p w:rsidR="00470E78" w:rsidRPr="00A84D12" w:rsidRDefault="00150402" w:rsidP="00A84D12">
      <w:pPr>
        <w:jc w:val="center"/>
        <w:rPr>
          <w:b/>
          <w:color w:val="000000"/>
          <w:sz w:val="28"/>
          <w:szCs w:val="28"/>
        </w:rPr>
      </w:pPr>
      <w:r w:rsidRPr="00150402">
        <w:rPr>
          <w:b/>
          <w:color w:val="000000"/>
          <w:sz w:val="28"/>
          <w:szCs w:val="28"/>
        </w:rPr>
        <w:t>Номенклатура місцевого матеріального резерву для здійснення заходів, спрямованих на запобігання і ліквідацію наслідків надзвичайних ситуацій та надання термінової д</w:t>
      </w:r>
      <w:r w:rsidR="00A84D12">
        <w:rPr>
          <w:b/>
          <w:color w:val="000000"/>
          <w:sz w:val="28"/>
          <w:szCs w:val="28"/>
        </w:rPr>
        <w:t>опомоги постраждалому населенню</w:t>
      </w:r>
    </w:p>
    <w:p w:rsidR="00150402" w:rsidRPr="00150402" w:rsidRDefault="00150402" w:rsidP="00150402">
      <w:pPr>
        <w:ind w:left="7776"/>
        <w:rPr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6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5103"/>
        <w:gridCol w:w="2835"/>
        <w:gridCol w:w="2268"/>
      </w:tblGrid>
      <w:tr w:rsidR="00150402" w:rsidRPr="00150402" w:rsidTr="00E861BB">
        <w:trPr>
          <w:cantSplit/>
          <w:trHeight w:val="276"/>
        </w:trPr>
        <w:tc>
          <w:tcPr>
            <w:tcW w:w="562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№</w:t>
            </w:r>
          </w:p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пп</w:t>
            </w:r>
            <w:proofErr w:type="spellEnd"/>
          </w:p>
        </w:tc>
        <w:tc>
          <w:tcPr>
            <w:tcW w:w="5103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матеріально-техічних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2835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Одиниця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2268" w:type="dxa"/>
            <w:vMerge w:val="restart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sz w:val="24"/>
                <w:szCs w:val="24"/>
                <w:lang w:val="ru-RU"/>
              </w:rPr>
              <w:t>Необхідність</w:t>
            </w:r>
            <w:proofErr w:type="spellEnd"/>
            <w:r w:rsidRPr="00150402">
              <w:rPr>
                <w:sz w:val="24"/>
                <w:szCs w:val="24"/>
                <w:lang w:val="ru-RU"/>
              </w:rPr>
              <w:t xml:space="preserve"> в запасах</w:t>
            </w:r>
          </w:p>
        </w:tc>
      </w:tr>
      <w:tr w:rsidR="00150402" w:rsidRPr="00150402" w:rsidTr="00E861BB">
        <w:trPr>
          <w:cantSplit/>
          <w:trHeight w:val="480"/>
        </w:trPr>
        <w:tc>
          <w:tcPr>
            <w:tcW w:w="562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0402" w:rsidRPr="00150402" w:rsidTr="00E861BB">
        <w:tc>
          <w:tcPr>
            <w:tcW w:w="562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4</w:t>
            </w:r>
          </w:p>
        </w:tc>
      </w:tr>
      <w:tr w:rsidR="00150402" w:rsidRPr="00150402" w:rsidTr="00E861BB">
        <w:trPr>
          <w:cantSplit/>
        </w:trPr>
        <w:tc>
          <w:tcPr>
            <w:tcW w:w="10768" w:type="dxa"/>
            <w:gridSpan w:val="4"/>
          </w:tcPr>
          <w:p w:rsidR="00150402" w:rsidRPr="00150402" w:rsidRDefault="00150402" w:rsidP="00150402">
            <w:pPr>
              <w:jc w:val="center"/>
              <w:rPr>
                <w:sz w:val="24"/>
                <w:szCs w:val="24"/>
                <w:lang w:val="ru-RU"/>
              </w:rPr>
            </w:pPr>
            <w:r w:rsidRPr="00150402">
              <w:rPr>
                <w:sz w:val="24"/>
                <w:szCs w:val="24"/>
                <w:lang w:val="ru-RU"/>
              </w:rPr>
              <w:t>1</w:t>
            </w:r>
            <w:r w:rsidRPr="00150402">
              <w:rPr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50402">
              <w:rPr>
                <w:sz w:val="24"/>
                <w:szCs w:val="24"/>
                <w:lang w:val="ru-RU"/>
              </w:rPr>
              <w:t>Продовольство</w:t>
            </w:r>
            <w:proofErr w:type="spellEnd"/>
            <w:r w:rsidRPr="00150402">
              <w:rPr>
                <w:color w:val="FF0000"/>
                <w:sz w:val="24"/>
                <w:szCs w:val="24"/>
                <w:lang w:val="ru-RU"/>
              </w:rPr>
              <w:t>.</w:t>
            </w:r>
          </w:p>
        </w:tc>
      </w:tr>
      <w:tr w:rsidR="00150402" w:rsidRPr="00150402" w:rsidTr="00E861BB">
        <w:trPr>
          <w:cantSplit/>
          <w:trHeight w:val="186"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Крупи</w:t>
            </w:r>
            <w:proofErr w:type="spellEnd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  <w:r w:rsidR="00150402" w:rsidRPr="00150402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Макаронні</w:t>
            </w:r>
            <w:proofErr w:type="spellEnd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вироби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Цукор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Чай</w:t>
            </w:r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пачок</w:t>
            </w:r>
            <w:proofErr w:type="spellEnd"/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Сіль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Борошно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Олія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70</w:t>
            </w:r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Консерви</w:t>
            </w:r>
            <w:proofErr w:type="spellEnd"/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 м</w:t>
            </w:r>
            <w:r w:rsidRPr="00150402">
              <w:rPr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150402">
              <w:rPr>
                <w:color w:val="000000"/>
                <w:sz w:val="24"/>
                <w:szCs w:val="24"/>
                <w:lang w:val="en-US"/>
              </w:rPr>
              <w:t>ясні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кг.</w:t>
            </w:r>
          </w:p>
        </w:tc>
        <w:tc>
          <w:tcPr>
            <w:tcW w:w="2268" w:type="dxa"/>
          </w:tcPr>
          <w:p w:rsidR="00150402" w:rsidRPr="00150402" w:rsidRDefault="008F1A5A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150402" w:rsidRPr="00150402" w:rsidTr="00E861BB">
        <w:trPr>
          <w:cantSplit/>
        </w:trPr>
        <w:tc>
          <w:tcPr>
            <w:tcW w:w="10768" w:type="dxa"/>
            <w:gridSpan w:val="4"/>
          </w:tcPr>
          <w:p w:rsidR="00150402" w:rsidRPr="00150402" w:rsidRDefault="00150402" w:rsidP="0015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Речове</w:t>
            </w:r>
            <w:proofErr w:type="spellEnd"/>
            <w:r w:rsidRPr="0015040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402">
              <w:rPr>
                <w:color w:val="000000"/>
                <w:sz w:val="24"/>
                <w:szCs w:val="24"/>
                <w:lang w:val="ru-RU"/>
              </w:rPr>
              <w:t>майно</w:t>
            </w:r>
            <w:proofErr w:type="spellEnd"/>
          </w:p>
        </w:tc>
      </w:tr>
      <w:tr w:rsidR="00150402" w:rsidRPr="00150402" w:rsidTr="00E861BB">
        <w:trPr>
          <w:cantSplit/>
        </w:trPr>
        <w:tc>
          <w:tcPr>
            <w:tcW w:w="562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150402" w:rsidRPr="00150402" w:rsidRDefault="00150402" w:rsidP="00150402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150402">
              <w:rPr>
                <w:bCs/>
                <w:iCs/>
                <w:color w:val="000000"/>
                <w:sz w:val="24"/>
                <w:szCs w:val="24"/>
                <w:lang w:val="ru-RU"/>
              </w:rPr>
              <w:t>Сірники</w:t>
            </w:r>
            <w:proofErr w:type="spellEnd"/>
          </w:p>
        </w:tc>
        <w:tc>
          <w:tcPr>
            <w:tcW w:w="2835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коробок</w:t>
            </w:r>
          </w:p>
        </w:tc>
        <w:tc>
          <w:tcPr>
            <w:tcW w:w="2268" w:type="dxa"/>
          </w:tcPr>
          <w:p w:rsidR="00150402" w:rsidRPr="00150402" w:rsidRDefault="00150402" w:rsidP="00150402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150402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</w:tbl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</w:tblGrid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Свічки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250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Мішки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пісок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, грунт)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400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Плівка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поліпропіленова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прозора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п.м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>.,(рулон)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F1A5A" w:rsidRPr="008F1A5A" w:rsidTr="008F1A5A">
        <w:trPr>
          <w:cantSplit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2. 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Дезінфікуючі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</w:p>
        </w:tc>
      </w:tr>
      <w:tr w:rsidR="008F1A5A" w:rsidRPr="008F1A5A" w:rsidTr="008F1A5A"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Мило 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:rsidR="008F1A5A" w:rsidRPr="008F1A5A" w:rsidTr="008F1A5A"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Хлорне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вапно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537004" w:rsidRPr="008F1A5A" w:rsidTr="008F1A5A">
        <w:tc>
          <w:tcPr>
            <w:tcW w:w="567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Дезактин</w:t>
            </w:r>
            <w:proofErr w:type="spellEnd"/>
          </w:p>
        </w:tc>
        <w:tc>
          <w:tcPr>
            <w:tcW w:w="2835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2268" w:type="dxa"/>
          </w:tcPr>
          <w:p w:rsidR="00537004" w:rsidRPr="008F1A5A" w:rsidRDefault="00537004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8F1A5A" w:rsidRPr="008F1A5A" w:rsidTr="008F1A5A">
        <w:trPr>
          <w:cantSplit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Будівельні</w:t>
            </w:r>
            <w:proofErr w:type="spellEnd"/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матеріали</w:t>
            </w:r>
            <w:proofErr w:type="spellEnd"/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Цемент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Руберойд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рулонів</w:t>
            </w:r>
            <w:proofErr w:type="spellEnd"/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150</w:t>
            </w:r>
          </w:p>
        </w:tc>
      </w:tr>
      <w:tr w:rsidR="008F1A5A" w:rsidRPr="008F1A5A" w:rsidTr="008F1A5A">
        <w:trPr>
          <w:cantSplit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Цвяхи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різні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тонн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8F1A5A" w:rsidRPr="008F1A5A" w:rsidRDefault="008F1A5A" w:rsidP="008F1A5A">
      <w:pPr>
        <w:jc w:val="both"/>
        <w:rPr>
          <w:color w:val="000000"/>
          <w:sz w:val="24"/>
          <w:szCs w:val="24"/>
          <w:lang w:val="ru-RU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2835"/>
        <w:gridCol w:w="2268"/>
        <w:gridCol w:w="284"/>
      </w:tblGrid>
      <w:tr w:rsidR="008F1A5A" w:rsidRPr="008F1A5A" w:rsidTr="00771158">
        <w:trPr>
          <w:gridAfter w:val="1"/>
          <w:wAfter w:w="284" w:type="dxa"/>
          <w:cantSplit/>
          <w:trHeight w:val="211"/>
        </w:trPr>
        <w:tc>
          <w:tcPr>
            <w:tcW w:w="10773" w:type="dxa"/>
            <w:gridSpan w:val="4"/>
          </w:tcPr>
          <w:p w:rsidR="008F1A5A" w:rsidRPr="008F1A5A" w:rsidRDefault="008F1A5A" w:rsidP="008F1A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 xml:space="preserve">5.  Мала </w:t>
            </w:r>
            <w:proofErr w:type="spellStart"/>
            <w:r w:rsidRPr="008F1A5A">
              <w:rPr>
                <w:color w:val="000000"/>
                <w:sz w:val="24"/>
                <w:szCs w:val="24"/>
                <w:lang w:val="ru-RU"/>
              </w:rPr>
              <w:t>механізація</w:t>
            </w:r>
            <w:proofErr w:type="spellEnd"/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Мотопомпа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Бензопила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Електрогенератор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(до 10 кВт)</w:t>
            </w:r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F1A5A" w:rsidRPr="008F1A5A" w:rsidTr="00771158">
        <w:trPr>
          <w:gridAfter w:val="1"/>
          <w:wAfter w:w="284" w:type="dxa"/>
        </w:trPr>
        <w:tc>
          <w:tcPr>
            <w:tcW w:w="567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</w:tcPr>
          <w:p w:rsidR="008F1A5A" w:rsidRPr="008F1A5A" w:rsidRDefault="008F1A5A" w:rsidP="008F1A5A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Лампи</w:t>
            </w:r>
            <w:proofErr w:type="spellEnd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1A5A">
              <w:rPr>
                <w:bCs/>
                <w:iCs/>
                <w:color w:val="000000"/>
                <w:sz w:val="24"/>
                <w:szCs w:val="24"/>
                <w:lang w:val="ru-RU"/>
              </w:rPr>
              <w:t>паяльні</w:t>
            </w:r>
            <w:proofErr w:type="spellEnd"/>
          </w:p>
        </w:tc>
        <w:tc>
          <w:tcPr>
            <w:tcW w:w="2835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8F1A5A" w:rsidRPr="008F1A5A" w:rsidRDefault="008F1A5A" w:rsidP="008F1A5A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37004" w:rsidRPr="00537004" w:rsidTr="00771158">
        <w:trPr>
          <w:trHeight w:val="334"/>
        </w:trPr>
        <w:tc>
          <w:tcPr>
            <w:tcW w:w="11057" w:type="dxa"/>
            <w:gridSpan w:val="5"/>
          </w:tcPr>
          <w:p w:rsidR="00537004" w:rsidRPr="00537004" w:rsidRDefault="00537004" w:rsidP="0053700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Медичні</w:t>
            </w:r>
            <w:proofErr w:type="spellEnd"/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засоби</w:t>
            </w:r>
            <w:proofErr w:type="spellEnd"/>
            <w:r w:rsidRPr="00537004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37004">
              <w:rPr>
                <w:color w:val="000000"/>
                <w:sz w:val="24"/>
                <w:szCs w:val="24"/>
                <w:lang w:val="ru-RU"/>
              </w:rPr>
              <w:t>препарати</w:t>
            </w:r>
            <w:proofErr w:type="spellEnd"/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Джгут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кровоспинний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імобілізації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верхніх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A5A"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</w:tcPr>
          <w:p w:rsidR="00771158" w:rsidRPr="008F1A5A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імобілізації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нижніх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кінцівок</w:t>
            </w:r>
            <w:proofErr w:type="spellEnd"/>
          </w:p>
        </w:tc>
        <w:tc>
          <w:tcPr>
            <w:tcW w:w="2835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Pr="008F1A5A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Шина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фіксації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шийного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хребта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Бинт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Вата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гр.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200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Одіяло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медичне</w:t>
            </w:r>
            <w:proofErr w:type="spellEnd"/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Система для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переливання</w:t>
            </w:r>
            <w:proofErr w:type="spellEnd"/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3" w:type="dxa"/>
          </w:tcPr>
          <w:p w:rsidR="00771158" w:rsidRDefault="00771158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Аналгін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50%</w:t>
            </w:r>
          </w:p>
        </w:tc>
        <w:tc>
          <w:tcPr>
            <w:tcW w:w="2835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71158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771158" w:rsidRDefault="00771158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3" w:type="dxa"/>
          </w:tcPr>
          <w:p w:rsidR="00771158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Дімедрол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1%</w:t>
            </w:r>
          </w:p>
        </w:tc>
        <w:tc>
          <w:tcPr>
            <w:tcW w:w="2835" w:type="dxa"/>
          </w:tcPr>
          <w:p w:rsidR="00771158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771158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Кетанов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Дексаметазон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103" w:type="dxa"/>
          </w:tcPr>
          <w:p w:rsidR="00BA0C26" w:rsidRDefault="00BA0C26" w:rsidP="00E861BB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Хлористий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найтрій</w:t>
            </w:r>
            <w:proofErr w:type="spellEnd"/>
          </w:p>
        </w:tc>
        <w:tc>
          <w:tcPr>
            <w:tcW w:w="2835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флакон</w:t>
            </w:r>
          </w:p>
        </w:tc>
        <w:tc>
          <w:tcPr>
            <w:tcW w:w="2268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7127C" w:rsidRPr="008F1A5A" w:rsidTr="00E5212F">
        <w:trPr>
          <w:gridAfter w:val="1"/>
          <w:wAfter w:w="284" w:type="dxa"/>
          <w:cantSplit/>
        </w:trPr>
        <w:tc>
          <w:tcPr>
            <w:tcW w:w="10773" w:type="dxa"/>
            <w:gridSpan w:val="4"/>
          </w:tcPr>
          <w:p w:rsidR="00A7127C" w:rsidRPr="00A7127C" w:rsidRDefault="00A7127C" w:rsidP="00A7127C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Пально-мастильні</w:t>
            </w:r>
            <w:proofErr w:type="spellEnd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матеріали</w:t>
            </w:r>
            <w:proofErr w:type="spellEnd"/>
            <w:r w:rsidRPr="00A7127C">
              <w:rPr>
                <w:bCs/>
                <w:iCs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BA0C26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BA0C26" w:rsidRDefault="00BA0C26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103" w:type="dxa"/>
          </w:tcPr>
          <w:p w:rsidR="00BA0C26" w:rsidRDefault="00A7127C" w:rsidP="00A7127C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Автобензин</w:t>
            </w:r>
          </w:p>
        </w:tc>
        <w:tc>
          <w:tcPr>
            <w:tcW w:w="2835" w:type="dxa"/>
          </w:tcPr>
          <w:p w:rsidR="00BA0C26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BA0C26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  <w:tr w:rsidR="00A7127C" w:rsidRPr="008F1A5A" w:rsidTr="00771158">
        <w:trPr>
          <w:gridAfter w:val="1"/>
          <w:wAfter w:w="284" w:type="dxa"/>
          <w:cantSplit/>
        </w:trPr>
        <w:tc>
          <w:tcPr>
            <w:tcW w:w="567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103" w:type="dxa"/>
          </w:tcPr>
          <w:p w:rsidR="00A7127C" w:rsidRDefault="00A7127C" w:rsidP="00A7127C">
            <w:pPr>
              <w:jc w:val="both"/>
              <w:outlineLvl w:val="4"/>
              <w:rPr>
                <w:bCs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Дизельне</w:t>
            </w:r>
            <w:proofErr w:type="spellEnd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4"/>
                <w:szCs w:val="24"/>
                <w:lang w:val="ru-RU"/>
              </w:rPr>
              <w:t>пальне</w:t>
            </w:r>
            <w:proofErr w:type="spellEnd"/>
          </w:p>
        </w:tc>
        <w:tc>
          <w:tcPr>
            <w:tcW w:w="2835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л.</w:t>
            </w:r>
          </w:p>
        </w:tc>
        <w:tc>
          <w:tcPr>
            <w:tcW w:w="2268" w:type="dxa"/>
          </w:tcPr>
          <w:p w:rsidR="00A7127C" w:rsidRDefault="00A7127C" w:rsidP="00E861BB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1000</w:t>
            </w:r>
          </w:p>
        </w:tc>
      </w:tr>
    </w:tbl>
    <w:p w:rsidR="00470E78" w:rsidRDefault="00470E78" w:rsidP="00C216C4">
      <w:pPr>
        <w:jc w:val="both"/>
        <w:rPr>
          <w:sz w:val="24"/>
          <w:szCs w:val="24"/>
        </w:rPr>
      </w:pPr>
    </w:p>
    <w:p w:rsidR="00A84D12" w:rsidRPr="00470E78" w:rsidRDefault="00A84D12" w:rsidP="00C21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</w:t>
      </w:r>
    </w:p>
    <w:sectPr w:rsidR="00A84D12" w:rsidRPr="00470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B85"/>
    <w:multiLevelType w:val="hybridMultilevel"/>
    <w:tmpl w:val="053E980E"/>
    <w:lvl w:ilvl="0" w:tplc="33A00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50627"/>
    <w:multiLevelType w:val="hybridMultilevel"/>
    <w:tmpl w:val="53C40D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427B"/>
    <w:multiLevelType w:val="hybridMultilevel"/>
    <w:tmpl w:val="90302A02"/>
    <w:lvl w:ilvl="0" w:tplc="4228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82A89"/>
    <w:multiLevelType w:val="hybridMultilevel"/>
    <w:tmpl w:val="E3BC5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40530"/>
    <w:multiLevelType w:val="hybridMultilevel"/>
    <w:tmpl w:val="91AE4C2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94"/>
    <w:rsid w:val="0007082E"/>
    <w:rsid w:val="000A1C9F"/>
    <w:rsid w:val="00150402"/>
    <w:rsid w:val="00186BE3"/>
    <w:rsid w:val="00237018"/>
    <w:rsid w:val="00263C2E"/>
    <w:rsid w:val="003413E9"/>
    <w:rsid w:val="004123F5"/>
    <w:rsid w:val="00470E78"/>
    <w:rsid w:val="00537004"/>
    <w:rsid w:val="00557A9E"/>
    <w:rsid w:val="005B57E2"/>
    <w:rsid w:val="005F0A3F"/>
    <w:rsid w:val="005F49BE"/>
    <w:rsid w:val="00612023"/>
    <w:rsid w:val="006208C4"/>
    <w:rsid w:val="00693CF4"/>
    <w:rsid w:val="006A4E66"/>
    <w:rsid w:val="00771158"/>
    <w:rsid w:val="00781FFC"/>
    <w:rsid w:val="007E24C7"/>
    <w:rsid w:val="008100E2"/>
    <w:rsid w:val="00835694"/>
    <w:rsid w:val="008F1A5A"/>
    <w:rsid w:val="00947C20"/>
    <w:rsid w:val="00A7127C"/>
    <w:rsid w:val="00A84D12"/>
    <w:rsid w:val="00AD14D5"/>
    <w:rsid w:val="00B75F95"/>
    <w:rsid w:val="00BA0C26"/>
    <w:rsid w:val="00C05A71"/>
    <w:rsid w:val="00C216C4"/>
    <w:rsid w:val="00C36324"/>
    <w:rsid w:val="00C45A64"/>
    <w:rsid w:val="00C50FB1"/>
    <w:rsid w:val="00CA16CE"/>
    <w:rsid w:val="00D5555A"/>
    <w:rsid w:val="00D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3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63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6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Admin</cp:lastModifiedBy>
  <cp:revision>12</cp:revision>
  <cp:lastPrinted>2024-10-09T13:45:00Z</cp:lastPrinted>
  <dcterms:created xsi:type="dcterms:W3CDTF">2024-10-01T06:18:00Z</dcterms:created>
  <dcterms:modified xsi:type="dcterms:W3CDTF">2024-10-11T11:18:00Z</dcterms:modified>
</cp:coreProperties>
</file>