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89B6EE2" w:rsidR="003A2ADB" w:rsidRDefault="005221A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305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1962E008" w:rsidR="005F7436" w:rsidRPr="00F53C3E" w:rsidRDefault="00F53C3E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53C3E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F53C3E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F53C3E">
        <w:rPr>
          <w:rFonts w:eastAsia="Calibri"/>
          <w:b/>
          <w:sz w:val="24"/>
          <w:szCs w:val="24"/>
          <w:lang w:eastAsia="en-US"/>
        </w:rPr>
        <w:t xml:space="preserve"> від 23 вересня 2024 року №973-р «Про уведення в дію рішення ради оборони області від 19 вересня 2024 року №33 «Про виконання планових завдань з мобілізації людських і транспортних ресурсів на території області у вересні 2024 року»</w:t>
      </w:r>
    </w:p>
    <w:p w14:paraId="01395F90" w14:textId="77777777" w:rsidR="00F53C3E" w:rsidRPr="000D5675" w:rsidRDefault="00F53C3E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F0B84C4" w14:textId="3C730695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 w:rsidR="00F53C3E">
        <w:rPr>
          <w:sz w:val="24"/>
          <w:szCs w:val="24"/>
        </w:rPr>
        <w:t>селищного голову Миколу МАЗУРУ.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21A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53C3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2024-10-11T09:58:00Z</dcterms:modified>
</cp:coreProperties>
</file>