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EF5CE1B" w:rsidR="003A2ADB" w:rsidRDefault="000045B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E0E0ABA" w14:textId="526B4B09" w:rsidR="00D17474" w:rsidRPr="00D17474" w:rsidRDefault="00560727" w:rsidP="00D17474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Кір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овоградської обласної військової 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адміністрації від 30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вересня 2024 року №99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8-р «Про затвердження операційного плану заходів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на 2024 рік і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>з реалі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зації Стратегії розвитку Кіровоградської області на 2021-2027 роки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F6D1636" w14:textId="5D46985D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Визначити </w:t>
      </w:r>
      <w:r w:rsidRPr="000045B1">
        <w:rPr>
          <w:b/>
          <w:sz w:val="24"/>
          <w:szCs w:val="24"/>
        </w:rPr>
        <w:t xml:space="preserve">спеціаліста з інвестиційних та соціально-економічних питань </w:t>
      </w:r>
      <w:proofErr w:type="spellStart"/>
      <w:r w:rsidRPr="000045B1">
        <w:rPr>
          <w:b/>
          <w:sz w:val="24"/>
          <w:szCs w:val="24"/>
        </w:rPr>
        <w:t>Смолінської</w:t>
      </w:r>
      <w:proofErr w:type="spellEnd"/>
      <w:r w:rsidRPr="000045B1">
        <w:rPr>
          <w:b/>
          <w:sz w:val="24"/>
          <w:szCs w:val="24"/>
        </w:rPr>
        <w:t xml:space="preserve"> селищної ради</w:t>
      </w:r>
      <w:r w:rsidRPr="006B1F02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відповідальною особою за координацію роботи із забезпечення виконання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ТГ завдань та заходів (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>), передбачених операцій</w:t>
      </w:r>
      <w:bookmarkStart w:id="0" w:name="_GoBack"/>
      <w:bookmarkEnd w:id="0"/>
      <w:r>
        <w:rPr>
          <w:sz w:val="24"/>
          <w:szCs w:val="24"/>
        </w:rPr>
        <w:t xml:space="preserve">ним планом заходів із реалізації Стратегії-2027 та проведення моніторингу стану їх виконання. </w:t>
      </w:r>
    </w:p>
    <w:p w14:paraId="784FFE07" w14:textId="1B41E94F" w:rsidR="006B1F02" w:rsidRP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r w:rsidRPr="006B1F02">
        <w:rPr>
          <w:sz w:val="24"/>
          <w:szCs w:val="24"/>
        </w:rPr>
        <w:t xml:space="preserve">спеціалісту з інвестиційних та соціально-економічних питань </w:t>
      </w:r>
      <w:proofErr w:type="spellStart"/>
      <w:r w:rsidRPr="006B1F02">
        <w:rPr>
          <w:sz w:val="24"/>
          <w:szCs w:val="24"/>
        </w:rPr>
        <w:t>Смолінської</w:t>
      </w:r>
      <w:proofErr w:type="spellEnd"/>
      <w:r w:rsidRPr="006B1F02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сформувати моніторинговий звіт про результати виконання у 2024 році операційного плану заходів із реалізації Стратегії -2027, та надати даний звіт відповідним галузевим підрозділам обласної військової адміністрації, їх копій - департаменту економічного розвитку та торгівлі обласної військової адміністрації – до </w:t>
      </w:r>
      <w:r w:rsidRPr="006B1F02">
        <w:rPr>
          <w:b/>
          <w:sz w:val="24"/>
          <w:szCs w:val="24"/>
        </w:rPr>
        <w:t>10 лютого 2025 року</w:t>
      </w:r>
      <w:r>
        <w:rPr>
          <w:sz w:val="24"/>
          <w:szCs w:val="24"/>
        </w:rPr>
        <w:t xml:space="preserve"> за встановленою формою (у цьому розпорядженні).</w:t>
      </w:r>
    </w:p>
    <w:p w14:paraId="5F0B84C4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Валентину ГЕТМАНЕЦЬ.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45B1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2024-10-11T10:02:00Z</dcterms:modified>
</cp:coreProperties>
</file>