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45" w:rsidRPr="00340245" w:rsidRDefault="00340245" w:rsidP="00340245">
      <w:pPr>
        <w:suppressAutoHyphens w:val="0"/>
        <w:spacing w:after="30" w:line="259" w:lineRule="auto"/>
        <w:ind w:left="10" w:right="43" w:firstLine="1076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402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Додаток № </w:t>
      </w:r>
      <w:r w:rsidR="00DF09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</w:t>
      </w:r>
    </w:p>
    <w:p w:rsidR="00DF09C3" w:rsidRDefault="00340245" w:rsidP="00DF09C3">
      <w:pPr>
        <w:suppressAutoHyphens w:val="0"/>
        <w:spacing w:after="30" w:line="259" w:lineRule="auto"/>
        <w:ind w:left="10" w:right="43" w:firstLine="1076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402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 рішення Смолінської селищної ради </w:t>
      </w:r>
    </w:p>
    <w:p w:rsidR="002A0669" w:rsidRDefault="00340245" w:rsidP="00DF09C3">
      <w:pPr>
        <w:suppressAutoHyphens w:val="0"/>
        <w:spacing w:after="30" w:line="259" w:lineRule="auto"/>
        <w:ind w:left="10" w:right="43" w:firstLine="1076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402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DF09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21</w:t>
      </w:r>
      <w:r w:rsidRPr="003402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березня 2025 року №</w:t>
      </w:r>
      <w:r w:rsidR="00AB43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788</w:t>
      </w:r>
      <w:bookmarkStart w:id="0" w:name="_GoBack"/>
      <w:bookmarkEnd w:id="0"/>
    </w:p>
    <w:p w:rsidR="005F1EB0" w:rsidRDefault="005F1EB0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C4A2C" w:rsidRPr="005F1EB0" w:rsidRDefault="002A0669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ЗВІТ </w:t>
      </w:r>
    </w:p>
    <w:p w:rsidR="006C4A2C" w:rsidRPr="005F1EB0" w:rsidRDefault="002A0669" w:rsidP="005F1EB0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виконання</w:t>
      </w:r>
      <w:r w:rsidRPr="005F1EB0">
        <w:rPr>
          <w:sz w:val="24"/>
          <w:szCs w:val="24"/>
        </w:rPr>
        <w:t xml:space="preserve"> </w:t>
      </w: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Комплексної Програми розвитку освіти</w:t>
      </w:r>
      <w:r w:rsid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Смолінської об’єднаної територіальної громади</w:t>
      </w:r>
    </w:p>
    <w:p w:rsidR="006C4A2C" w:rsidRPr="005F1EB0" w:rsidRDefault="002A0669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 2021-2025 роки</w:t>
      </w:r>
      <w:r w:rsidR="00DF09C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 2024 рік</w:t>
      </w:r>
    </w:p>
    <w:p w:rsidR="006C4A2C" w:rsidRDefault="002A0669" w:rsidP="00340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Розвиток  дошкільної освіти</w:t>
      </w:r>
    </w:p>
    <w:tbl>
      <w:tblPr>
        <w:tblW w:w="1576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2593"/>
        <w:gridCol w:w="2165"/>
        <w:gridCol w:w="1687"/>
        <w:gridCol w:w="1701"/>
        <w:gridCol w:w="1419"/>
        <w:gridCol w:w="2827"/>
        <w:gridCol w:w="2832"/>
      </w:tblGrid>
      <w:tr w:rsidR="006C4A2C" w:rsidTr="005F1EB0">
        <w:trPr>
          <w:cantSplit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Найменування заходу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Місце виконання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Фінансування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Результат виконання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Очікувані результати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2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6C4A2C" w:rsidTr="005F1EB0">
        <w:trPr>
          <w:cantSplit/>
          <w:trHeight w:val="379"/>
          <w:jc w:val="center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інші джерела</w:t>
            </w:r>
          </w:p>
        </w:tc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6C4A2C" w:rsidRPr="00AB43CB" w:rsidTr="005F1EB0">
        <w:trPr>
          <w:cantSplit/>
          <w:trHeight w:val="1268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максимального охоплення дітей дошкільною освітою та поліпшення її якості;</w:t>
            </w:r>
          </w:p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обов’язкової дошкільної освіти дітей старшого дошкільного віку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Мережа ЗДО оптимальна,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94 % охоплення дітей 5-тирічного віку дошкільною освітою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рівного доступу до  якісної  дошкільної освіти</w:t>
            </w:r>
          </w:p>
          <w:p w:rsidR="006C4A2C" w:rsidRDefault="002A0669">
            <w:pPr>
              <w:widowControl w:val="0"/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та розвиток мережі закладів дошкільної освіти;</w:t>
            </w:r>
          </w:p>
          <w:p w:rsidR="006C4A2C" w:rsidRDefault="002A0669">
            <w:pPr>
              <w:widowControl w:val="0"/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100% охоплення дітей 5-тирічного віку дошкільною освітою;</w:t>
            </w:r>
          </w:p>
        </w:tc>
      </w:tr>
      <w:tr w:rsidR="006C4A2C" w:rsidRPr="00AB43CB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Розроблення програми планування здоров’я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зберігаючих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технологій у всіх видах пізнавальної діяльності</w:t>
            </w:r>
          </w:p>
          <w:p w:rsidR="006C4A2C" w:rsidRDefault="006C4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Забезпечений різнобічний розвиток дітей дошкільного віку відповідно до їх задатків, нахилів, здібностей, індивідуальних, психологічних та фізичних особливостей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різнобічного розвитку дітей дошкільного віку відповідно до їх задатків, нахилів, здібностей, індивідуальних, психологічних та фізичних особливостей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Запроваджувати та постійно удосконалювати форму електронного обліку дітей дошкільного віку відповідно до вимог чинного законодавства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Зарахування дітей дошкільного віку до ЗДО відбувається через падання відповідних документів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прозорості та відкритості при зарахуванні дітей дошкільного віку до ДНЗ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аналіз надання додаткових освітніх послуг закладами дошкільної освіти та контроль за змістом їх діяльності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Дотримання вимог чинного законодавства при організації надання додаткових освітніх послуг</w:t>
            </w:r>
          </w:p>
        </w:tc>
      </w:tr>
      <w:tr w:rsidR="006C4A2C" w:rsidTr="005F1EB0">
        <w:trPr>
          <w:cantSplit/>
          <w:trHeight w:val="83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Систематично проводити моніторинг здоров’я дітей дошкільного віку. Продовжувати організовувати курси підвищення кваліфікації для медичних працівників дошкільних закладів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збереження та зміцнення здоров’я дітей дошкільного віку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1.6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Забезпечувати харчування дітей у закладах дошкільної освіти відповідно до чинного законодавства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725,3  тис. грн. – МБ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310,9 – батьківська плата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збереження та зміцнення здоров’я дітей дошкільного віку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системи додаткових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освітніх послуг, спрямованих на створення умов розвитку особистості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якісного  розвитку дошкільної освіти</w:t>
            </w:r>
          </w:p>
        </w:tc>
      </w:tr>
      <w:tr w:rsidR="006C4A2C" w:rsidTr="005F1EB0">
        <w:trPr>
          <w:cantSplit/>
          <w:trHeight w:val="274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Забезпечувати організацію заходів з нагоди відзначення Всеукраїнського дня </w:t>
            </w:r>
            <w:proofErr w:type="spellStart"/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дошкілля</w:t>
            </w:r>
            <w:proofErr w:type="spellEnd"/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громаді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якісного  розвитку дошкільної освіти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Продовжити співпрацю з ЗДО інших територіальних громад області: проводити спільні семінари, дні відкритих дверей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фахового рівня педагогічних працівників</w:t>
            </w:r>
          </w:p>
        </w:tc>
      </w:tr>
      <w:tr w:rsidR="006C4A2C" w:rsidTr="005F1EB0">
        <w:trPr>
          <w:cantSplit/>
          <w:trHeight w:val="691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ЗДО необхідною навчально-методичною літературою. Проводити передплату дитячих журналів, газет, педагогічної преси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якісного навчально-виховного процесу</w:t>
            </w:r>
          </w:p>
        </w:tc>
      </w:tr>
      <w:tr w:rsidR="006C4A2C" w:rsidRPr="00AB43CB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конкурси педагогічної майстерності серед вихователів, інструкторів фізичного виховання, практичних психологів, методистів, завідувачів та інших працівників ЗДО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підвищення рівня  педагогічних працівників</w:t>
            </w:r>
          </w:p>
        </w:tc>
      </w:tr>
      <w:tr w:rsidR="006C4A2C" w:rsidTr="005F1EB0">
        <w:trPr>
          <w:cantSplit/>
          <w:trHeight w:val="829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педагогічні читання з питань дошкільної освіти та виставки дидактичних матеріалів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розвитку і вдосконалення системи освіти дітей дошкільного віку</w:t>
            </w:r>
          </w:p>
        </w:tc>
      </w:tr>
      <w:tr w:rsidR="006C4A2C" w:rsidRPr="00AB43CB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Організовувати, проводити та брати участь у обласних конкурсах та інших заходах, пов’язаних із питаннями розвитку дошкільної освіти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підвищення рівня якості надання дошкільної освіти</w:t>
            </w:r>
          </w:p>
        </w:tc>
      </w:tr>
      <w:tr w:rsidR="006C4A2C" w:rsidTr="005F1EB0">
        <w:trPr>
          <w:cantSplit/>
          <w:trHeight w:val="97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капітальні ремонти закладів дошкільної освіти, зокрема, дахів, систем комунікацій та обладнання і котелень відповідно до проведеного обстеження їх стану та будівництво нових відповідно до потреб регіону з урахуванням енергозберігаючих технологій.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Побудова сховища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« Ромашка»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Облашування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найпростішого укриття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№3 «Ромашка»: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412,4 тис. грн. – МБ,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 тис. грн. – позабюджетні кошти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належних умов для здійснення навчально-виховного процесу</w:t>
            </w:r>
          </w:p>
        </w:tc>
      </w:tr>
      <w:tr w:rsidR="005F1EB0" w:rsidTr="005F1EB0">
        <w:trPr>
          <w:cantSplit/>
          <w:trHeight w:val="2805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P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Pr="005F1EB0" w:rsidRDefault="005F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заходи щодо зміцнення матеріально-технічної бази дошкільних закладів. Забезпечити ЗДО ігровим матеріалом та спортивним інвентарем згідно з діючими вимогами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спортивного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інвентаря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ігрового матеріалу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№3  «Ромашка»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належних умов для здійснення навчально-виховного процесу</w:t>
            </w:r>
          </w:p>
        </w:tc>
      </w:tr>
      <w:tr w:rsidR="006C4A2C" w:rsidRPr="00AB43CB" w:rsidTr="005F1EB0">
        <w:trPr>
          <w:cantSplit/>
          <w:trHeight w:val="165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1.17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придбання необхідного технологічного обладнання для їдалень та  медичного обладнання для ЗДО</w:t>
            </w:r>
          </w:p>
          <w:p w:rsidR="006C4A2C" w:rsidRPr="005F1EB0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пароконвек</w:t>
            </w:r>
            <w:proofErr w:type="spellEnd"/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томатів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№3  «Ромашка»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Хмелівському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ЗДО « Струмочок»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пароконвектоматів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перенесено на 2025 р.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відповідного рівня збереження зміцнення здоров’я дітей, їх фізичного розвитку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1.18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ЗДО сучасною комп’ютерною технікою, обладнанням для спортивних кімнат та майданчиків, тіньовими навісами, необхідними меблями тощо.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нових спортивних майданчиків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№3  « Ромашка»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Хмелівському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ЗДО « Струмочок»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рівня організації навчально-виховного процесу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C4A2C" w:rsidTr="005F1EB0">
        <w:trPr>
          <w:cantSplit/>
          <w:trHeight w:val="880"/>
          <w:jc w:val="center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 спортивних майданчиків перенесено на 2025 р.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C4A2C" w:rsidTr="005F1EB0">
        <w:trPr>
          <w:cantSplit/>
          <w:trHeight w:val="523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обслуговування   закладів дошкільної освіти до мережі Інтернет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Оплата послуг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провайдера ШТОРМ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5,5 тис.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рівня організації навчально-виховного процесу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6C4A2C" w:rsidRDefault="006C4A2C">
      <w:pPr>
        <w:spacing w:line="240" w:lineRule="auto"/>
        <w:jc w:val="center"/>
        <w:rPr>
          <w:rFonts w:ascii="Calibri" w:eastAsia="Times New Roman" w:hAnsi="Calibri" w:cs="Times New Roman"/>
          <w:lang w:val="uk-UA" w:eastAsia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4A2C" w:rsidRDefault="006C4A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4A2C" w:rsidRDefault="006C4A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4A2C" w:rsidRDefault="006C4A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4A2C" w:rsidRDefault="002A0669" w:rsidP="005F1EB0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Розвиток загальної середньої освіти</w:t>
      </w:r>
    </w:p>
    <w:p w:rsidR="006C4A2C" w:rsidRDefault="006C4A2C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503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2981"/>
        <w:gridCol w:w="2129"/>
        <w:gridCol w:w="2271"/>
        <w:gridCol w:w="1133"/>
        <w:gridCol w:w="1560"/>
        <w:gridCol w:w="1419"/>
        <w:gridCol w:w="2830"/>
      </w:tblGrid>
      <w:tr w:rsidR="006C4A2C" w:rsidTr="005F1EB0">
        <w:trPr>
          <w:cantSplit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Місце  виконання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Орієнтовні обсяги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369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інші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RPr="00AB43CB" w:rsidTr="005F1EB0">
        <w:trPr>
          <w:cantSplit/>
          <w:trHeight w:val="916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Привести мережу закладів загальної середньої освіти  у відповідність до потреб населення з врахуванням демографічної ситуації.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Якимівська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селищної ради Кіровоградської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умов для рівного доступу до якісної освіти.</w:t>
            </w:r>
          </w:p>
          <w:p w:rsidR="006C4A2C" w:rsidRPr="002A0669" w:rsidRDefault="002A0669">
            <w:pPr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( Рішення сесії </w:t>
            </w:r>
            <w:proofErr w:type="spellStart"/>
            <w:r>
              <w:rPr>
                <w:rFonts w:ascii="Times New Roman" w:hAnsi="Times New Roman"/>
                <w:lang w:val="uk-UA"/>
              </w:rPr>
              <w:t>Смолінської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proofErr w:type="spellStart"/>
            <w:r>
              <w:rPr>
                <w:rFonts w:ascii="Times New Roman" w:hAnsi="Times New Roman"/>
                <w:lang w:val="uk-UA"/>
              </w:rPr>
              <w:t>Новоукраїнського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району Кіровоградської області від 06.11.2024 р №698 «</w:t>
            </w:r>
            <w:r w:rsidRPr="002A0669">
              <w:rPr>
                <w:rFonts w:ascii="Times New Roman" w:hAnsi="Times New Roman"/>
                <w:lang w:val="uk-UA"/>
              </w:rPr>
              <w:t>Про припинення юридичної особи «</w:t>
            </w:r>
            <w:proofErr w:type="spellStart"/>
            <w:r w:rsidRPr="002A0669">
              <w:rPr>
                <w:rFonts w:ascii="Times New Roman" w:hAnsi="Times New Roman"/>
                <w:lang w:val="uk-UA"/>
              </w:rPr>
              <w:t>Якимівська</w:t>
            </w:r>
            <w:proofErr w:type="spellEnd"/>
            <w:r w:rsidRPr="002A0669">
              <w:rPr>
                <w:rFonts w:ascii="Times New Roman" w:hAnsi="Times New Roman"/>
                <w:lang w:val="uk-UA"/>
              </w:rPr>
              <w:t xml:space="preserve"> гімназія </w:t>
            </w:r>
            <w:proofErr w:type="spellStart"/>
            <w:r w:rsidRPr="002A0669">
              <w:rPr>
                <w:rFonts w:ascii="Times New Roman" w:hAnsi="Times New Roman"/>
                <w:lang w:val="uk-UA"/>
              </w:rPr>
              <w:t>Смолінської</w:t>
            </w:r>
            <w:proofErr w:type="spellEnd"/>
            <w:r w:rsidRPr="002A0669">
              <w:rPr>
                <w:rFonts w:ascii="Times New Roman" w:hAnsi="Times New Roman"/>
                <w:lang w:val="uk-UA"/>
              </w:rPr>
              <w:t xml:space="preserve"> селищної ради Кіровоградської області»  шляхом ліквідації».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6C4A2C" w:rsidTr="005F1EB0">
        <w:trPr>
          <w:cantSplit/>
          <w:trHeight w:val="67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Розширювати мережу профільних класів у старшій школі та класів з поглибленим вивченням окремих предметів відповідно до профільного навчання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Виявлення та розвиток творчого та наукового потенціалу особистості учнів</w:t>
            </w:r>
          </w:p>
        </w:tc>
      </w:tr>
      <w:tr w:rsidR="006C4A2C" w:rsidRPr="00AB43CB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Продовжити забезпечувати чіткий облік  дітей і підлітків шкільного віку відповідно до вимог чинного законодавства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Охоплення дітей і підлітків шкільного віку навчанням</w:t>
            </w:r>
          </w:p>
        </w:tc>
      </w:tr>
      <w:tr w:rsidR="005F1EB0" w:rsidTr="00A34E97">
        <w:trPr>
          <w:cantSplit/>
          <w:trHeight w:val="358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Забезпечувати гарячим харчуванням учнів пільгових категорій згідно чинного законодавства учнів відповідно до чинного законодавства.</w:t>
            </w:r>
          </w:p>
          <w:p w:rsidR="005F1EB0" w:rsidRDefault="005F1EB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 межах повноважень організовувати безкоштовне харчування учнів-дітей учасників АТО, внутрішньо переміщених осіб та інших пільгових категорій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664,80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ДБ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307,90,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батьківська плата - 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720,30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Дотримання соціальних гарантій для окремих категорій учнів</w:t>
            </w:r>
          </w:p>
        </w:tc>
      </w:tr>
      <w:tr w:rsidR="006C4A2C" w:rsidRPr="00AB43CB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комплексне медичне обстеження та обслуговування учнів і вчителів згідно з чинним законодавством України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542,</w:t>
            </w:r>
            <w:r w:rsidRPr="005F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відповідного рівня збереження та зміцнення здоров’я учнів та вчителів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 регулярний безоплатний підвіз учнів та педагогічних працівників сільської місцевості до місця навчання і додому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рівного доступу до якісної освіти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Проводити огляди-конкурси серед ЗЗСО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різних видів навчально-виховної та методичної діяльності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морального стимулювання педагогічних працівників</w:t>
            </w:r>
          </w:p>
        </w:tc>
      </w:tr>
      <w:tr w:rsidR="006C4A2C" w:rsidTr="005F1EB0">
        <w:trPr>
          <w:cantSplit/>
          <w:trHeight w:val="41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Організовувати та проводити атестацію ЗЗСО, тематичні перевірки, тощо. Вивчати, узагальнювати та впроваджувати передовий педагогічний досвід, інноваційну діяльність. Впроваджувати сучасні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педтехнології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практику роботи педагогічних колективів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надання освітніх послуг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Забезпечити:</w:t>
            </w:r>
          </w:p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передплату науково-методичної, педагогічної та літературно-публіцистичної преси для педагогічних колективів;</w:t>
            </w:r>
          </w:p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навчальні заклади науковими, навчально-методичними посібниками, розробками та іншою методичною літературою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Сприяння професійному росту педагогічних працівників</w:t>
            </w:r>
          </w:p>
        </w:tc>
      </w:tr>
      <w:tr w:rsidR="006C4A2C" w:rsidTr="005F1EB0">
        <w:trPr>
          <w:cantSplit/>
          <w:trHeight w:val="190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сучасного інформаційно-комунікаційного, матеріально-технічного оснащення освітнього процесу в кожному закладі загальної середньої освіти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ЗУ</w:t>
            </w:r>
            <w:r w:rsid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="00340245"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321,2</w:t>
            </w:r>
          </w:p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НУШ</w:t>
            </w:r>
            <w:r w:rsidR="00340245"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340245"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132,4</w:t>
            </w:r>
          </w:p>
          <w:p w:rsidR="00340245" w:rsidRPr="005F1EB0" w:rsidRDefault="00340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A2C" w:rsidRPr="005F1EB0" w:rsidRDefault="00340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1284,6</w:t>
            </w:r>
          </w:p>
          <w:p w:rsidR="00340245" w:rsidRPr="005F1EB0" w:rsidRDefault="00340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529,3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якості вивчення предметів</w:t>
            </w:r>
          </w:p>
        </w:tc>
      </w:tr>
      <w:tr w:rsidR="005F1EB0" w:rsidTr="005F1EB0">
        <w:trPr>
          <w:cantSplit/>
          <w:trHeight w:val="169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Здійснювати відзначення кращих ЗЗСО за результатами їх діяльності та нагородження їх з нагоди святкових і ювілейних дат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EB0" w:rsidRPr="005F1EB0" w:rsidRDefault="005F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Pr="005F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1EB0" w:rsidRP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матеріального стимулювання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2.12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участь ЗЗСО у обласних, міжнародних і всеукраїнських моніторингових дослідженнях якості освіти. Організовувати і проводити моніторингові дослідження якості освіти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освіти</w:t>
            </w:r>
          </w:p>
        </w:tc>
      </w:tr>
      <w:tr w:rsidR="006C4A2C" w:rsidTr="005F1EB0">
        <w:trPr>
          <w:cantSplit/>
          <w:trHeight w:val="703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2.13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Передбачати кошти на реконструкцію та капітальний ремонт закладів загальної середньої освіти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№2;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№1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Покращення умов навчання учнів 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(асфальтування подвір’я, ремонт санвузлів, укриття)</w:t>
            </w:r>
          </w:p>
        </w:tc>
      </w:tr>
      <w:tr w:rsidR="006C4A2C" w:rsidTr="005F1EB0">
        <w:trPr>
          <w:cantSplit/>
          <w:trHeight w:val="409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13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метою створення умов для збереження здоров’я дітей передбачати кошти капітальний ремонт та реконструкцію їдалень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Капітальний ремонт 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13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Передбачати кошти на будівництво, капітальний ремонт та реконструкцію, спортзалів, спортивних майданчиків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№1,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Хмелівський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4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Передбачати кошти на облаштування  закладів загальної середньої освіти</w:t>
            </w:r>
          </w:p>
          <w:p w:rsidR="006C4A2C" w:rsidRPr="005F1EB0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огорожею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1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навчальні заклади для дітей, які потребують корекції фізичного та розумового розвитку, спеціальним обладнанням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ЗСО, які будуть мати дітей, які потребують спеціального обладнання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розширення можливостей для реалізації права дітей, які потребують корекції фізичного та розумового розвитку, на здобуття якісної освіти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2.18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 навчальні заклади навчальним обладнанням та унаочненням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вивчення предметів</w:t>
            </w:r>
          </w:p>
        </w:tc>
      </w:tr>
      <w:tr w:rsidR="006C4A2C" w:rsidTr="005F1EB0">
        <w:trPr>
          <w:cantSplit/>
          <w:trHeight w:val="71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Оснащення загальноосвітніх шкіл засобами навчання з: фізики, хімії, біології, географії, математики, інформатики (з мультимедійними засобами), трудового навчання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 за рахунок коштів відповідних субвенцій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вивчення предметів</w:t>
            </w:r>
          </w:p>
        </w:tc>
      </w:tr>
      <w:tr w:rsidR="006C4A2C" w:rsidTr="005F1EB0">
        <w:trPr>
          <w:cantSplit/>
          <w:trHeight w:val="67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Оснащення загальноосвітніх навчальних закладів шкільними меблями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59,000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вивчення навчальних предметів</w:t>
            </w:r>
          </w:p>
        </w:tc>
      </w:tr>
      <w:tr w:rsidR="006C4A2C" w:rsidTr="005F1EB0">
        <w:trPr>
          <w:cantSplit/>
          <w:trHeight w:val="13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2.21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зміцнення  матеріально-технічної бази загальноосвітніх навчальних закладів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№1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Хмелівський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3824,4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належних умов для навчання учнів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облаштування санвузлів та внутрішніх туалетів навчальних закладів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належних умов перебування учнів у навчальних закладах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змісту  варіативної  складової навчальних   планів   з   предметів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природничо-математичного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напряму   (програми курсів за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вибором,  спецкурсів,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факультативів)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навчально-виховного процесу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2.24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 та  проведення семінарів з профільного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навчання та впровадження  у навчальний процес інформаційно-комунікативних технологій  з предметів природничо-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математичного напряму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Забезпечення професійного росту старшої школи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Проведення аналізу стану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викладання та оцінювання якості 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uk-UA"/>
              </w:rPr>
              <w:t xml:space="preserve">знань з природничо-математичних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предметів  за  результатами   ЗНО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Сприяння підвищуванню рівня організації навчально-виховного процесу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Удосконалення навчальних планів і  програм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 підвищення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кваліфікації  педагогічних працівників фахового та психолого-педагогічного напряму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відповідно до галузевих стандартів вищої освіти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  <w:p w:rsidR="006C4A2C" w:rsidRDefault="002A0669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 професійної підготовки педагогічних працівників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Проведення заходів (семінарів,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тренінгів,   практикумів, круглих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столів,  конференцій)  для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забезпечення  неперервної післядипломної педагогічної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освіти, яка сприяє професійному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росту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педагогів-предметників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професійної підготовки педагогічних працівників</w:t>
            </w:r>
          </w:p>
        </w:tc>
      </w:tr>
      <w:tr w:rsidR="006C4A2C" w:rsidRPr="00AB43CB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Надавати  різні форми морального та матеріального заохочення для працівників бібліотек навчальних закладів за результатами роботи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фахового рівня шкільних бібліотекарів</w:t>
            </w:r>
          </w:p>
        </w:tc>
      </w:tr>
      <w:tr w:rsidR="006C4A2C" w:rsidTr="005F1EB0">
        <w:trPr>
          <w:cantSplit/>
          <w:trHeight w:val="1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2.29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бібліотеки художньою, довідково-інфор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  <w:t>маційною, науково-популярною, методичною та іншою літературою, здійснювати передплату періодичних видань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фахового рівня</w:t>
            </w:r>
          </w:p>
        </w:tc>
      </w:tr>
      <w:tr w:rsidR="006C4A2C" w:rsidRPr="00AB43CB" w:rsidTr="005F1EB0">
        <w:trPr>
          <w:cantSplit/>
          <w:trHeight w:val="7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Налагодити співпрацю з навчальними закладами інших областей України з питань удосконалення роботи шкільних бібліотек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 потребує фінансування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у роботі шкільних бібліотекарів</w:t>
            </w:r>
          </w:p>
        </w:tc>
      </w:tr>
      <w:tr w:rsidR="006C4A2C" w:rsidRPr="00AB43CB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Проводити конкурси професійної майстерності  серед шкільних бібліотекарів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фахового рівня шкільних бібліотекарів та якості бібліотечної роботи</w:t>
            </w:r>
          </w:p>
        </w:tc>
      </w:tr>
      <w:tr w:rsidR="006C4A2C" w:rsidTr="005F1EB0">
        <w:trPr>
          <w:cantSplit/>
          <w:trHeight w:val="27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Організовувати проведення доброчинних акцій ”Подаруй бібліотеці книгу”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Збільшення книжкового фонду шкільних бібліотек</w:t>
            </w:r>
          </w:p>
        </w:tc>
      </w:tr>
      <w:tr w:rsidR="006C4A2C" w:rsidTr="005F1EB0">
        <w:trPr>
          <w:cantSplit/>
          <w:trHeight w:val="699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2.33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Розробити заходи щодо зміцнення матеріально-технічного стану та забезпечити відповідні умови  щодо належного функціонування шкільних бібліотек (проведення капітальних, поточних ремонтів, забезпечення наявності приміщень для книгосховищ, читальних залів, абонементів, забезпечення необхідним інвентарем, меблями, комп’ютерною,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множильною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технікою, підключення до мережі Інтернет тощо)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№1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Хмелівський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умов для належного функціонування бібліотек</w:t>
            </w:r>
          </w:p>
        </w:tc>
      </w:tr>
      <w:tr w:rsidR="006C4A2C" w:rsidRPr="00AB43CB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 ЗЗСО матеріально-технічною базою, адаптованою для навчання осіб з різними формами інвалідності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ЗСО, які будуть мати дітей, які потребують спеціального обладнання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6C4A2C" w:rsidRPr="00AB43CB" w:rsidTr="005F1EB0">
        <w:trPr>
          <w:cantSplit/>
          <w:trHeight w:val="1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ЗЗСО всіх типів  пандусами, поручнями, кабінетами фізичної реабілітації, психологічного розвантаження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Висвітлення проблем дитинства у засобах масової інформації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батьківського всеобучу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2.37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Участь педагогів та вихованців ЗЗСО 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сеукраїнських та міжнародних проектах; обмін делегаціями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навчально-виховного процесу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заходів з національно-патріотичного виховання в закладах освіти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Розвиток системи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національно-патріотичного виховання в закладах освіти</w:t>
            </w:r>
          </w:p>
        </w:tc>
      </w:tr>
      <w:tr w:rsidR="006C4A2C" w:rsidTr="005F1EB0">
        <w:trPr>
          <w:trHeight w:val="339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2.39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умов для раннього виявлення і розвитку обдарованих і талановитих дітей, заохочення та стимулювання їх допитливості, інтелектуальної ініціативи, позитивних мотивів навчання в умовах оновленого змісту загальної середньої освіти.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76,1</w:t>
            </w:r>
            <w:r w:rsidR="005F1EB0">
              <w:rPr>
                <w:rFonts w:ascii="Times New Roman" w:eastAsia="Calibri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Оздоровлення обдарованої молоді</w:t>
            </w: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6C4A2C" w:rsidTr="005F1EB0">
        <w:trPr>
          <w:trHeight w:val="328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2.40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та оновлення науково-методичного забезпечення змісту, форм і методів роботи з обдарованими і талановитими дітьми та молоддю, створення умов для забезпечення рівного доступу обдарованих і талановитих дітей та молоді до якісної освіти;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альманахи кращих творів учнів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Забезпечення якості  підготовки учнів до олімпіад</w:t>
            </w:r>
          </w:p>
        </w:tc>
      </w:tr>
      <w:tr w:rsidR="006C4A2C" w:rsidTr="005F1EB0">
        <w:trPr>
          <w:trHeight w:val="276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lastRenderedPageBreak/>
              <w:t>2.41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напрямків роботи з обдарованими і талановитими дітьми та молоддю, розвиток ефективних систем виявлення, навчання, виховання і професійної орієнтації обдарованих і талановитих дітей та молоді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Підвищення якості пошуку та роботи з обдарованими дітьми</w:t>
            </w:r>
          </w:p>
        </w:tc>
      </w:tr>
      <w:tr w:rsidR="005F1EB0" w:rsidTr="00D6201B">
        <w:trPr>
          <w:trHeight w:val="19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2.42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Удосконалити систему соціальної підтримки і заохочення талановитих здобувачів освіти та педагогічних працівників, які працюють з обдарованими дітьми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Забезпечення психологічного супроводу розвитку обдарованих дітей</w:t>
            </w:r>
          </w:p>
        </w:tc>
      </w:tr>
      <w:tr w:rsidR="006C4A2C" w:rsidTr="005F1EB0">
        <w:trPr>
          <w:trHeight w:val="130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2.43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Здійснювати видавництво кращих робіт здобувачів освіти та методичних матеріалів педагогічних працівників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Підвищення професійного росту педагогічних працівників з метою розвитку обдарованих дітей</w:t>
            </w:r>
          </w:p>
        </w:tc>
      </w:tr>
      <w:tr w:rsidR="006C4A2C" w:rsidTr="005F1EB0">
        <w:trPr>
          <w:trHeight w:val="19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2.44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Організація, участь та проведення олімпіад, конкурсів, турнірів, змагань, фестивалів, оглядів, науково-практичних конференцій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Виявлення обдарованих дітей</w:t>
            </w:r>
          </w:p>
        </w:tc>
      </w:tr>
      <w:tr w:rsidR="006C4A2C" w:rsidTr="005F1EB0">
        <w:trPr>
          <w:trHeight w:val="5796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lastRenderedPageBreak/>
              <w:t>2.45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Здійснювати матеріальне стимулювання керівників закладів освіти, педагогічних працівників, обслуговуючого персоналу шляхом встановлення доплат та преміювання за якісне виконання посадових обов’язків, творчі досягнення, якісну організацію та активну участь у проведенні місцевих, обласних семінарів, оглядів, майстер-класів, педагогічних виставок, підготовку учнів до масових заходів, сумлінне виконання доручень адміністрацій тощо (у межах фонду заробітної плати)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2021-2025 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Забезпечення матеріального стимулювання за результатами праці</w:t>
            </w:r>
          </w:p>
        </w:tc>
      </w:tr>
      <w:tr w:rsidR="006C4A2C" w:rsidTr="005F1EB0">
        <w:trPr>
          <w:trHeight w:val="248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3.46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Стимулювати молодих вчителів через виплату одноразової допомоги для придбання житла в сумі до 100 тис. грн., в разі відсутності власного житла із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заключення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відповідного договору з молодим спеціалісту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2021-2025 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Забезпечення матеріального стимулювання молоді для роботи в закладах освіти</w:t>
            </w:r>
          </w:p>
        </w:tc>
      </w:tr>
      <w:tr w:rsidR="006C4A2C" w:rsidTr="005F1EB0">
        <w:trPr>
          <w:trHeight w:val="104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3.47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Висвітлювати кращий досвід, надбання освітян через педагогічні видання, засоби масової інформації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2021-2025 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Підвищення професійного рівня вчителя</w:t>
            </w:r>
          </w:p>
        </w:tc>
      </w:tr>
    </w:tbl>
    <w:p w:rsidR="006C4A2C" w:rsidRDefault="006C4A2C">
      <w:pPr>
        <w:spacing w:after="160" w:line="240" w:lineRule="auto"/>
        <w:rPr>
          <w:rFonts w:ascii="Calibri" w:eastAsia="Calibri" w:hAnsi="Calibri" w:cs="Times New Roman"/>
          <w:lang w:val="uk-UA"/>
        </w:rPr>
      </w:pPr>
    </w:p>
    <w:p w:rsidR="006C4A2C" w:rsidRDefault="006C4A2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C4A2C">
      <w:pgSz w:w="16838" w:h="11906" w:orient="landscape"/>
      <w:pgMar w:top="1134" w:right="567" w:bottom="56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2C"/>
    <w:rsid w:val="002A0669"/>
    <w:rsid w:val="00340245"/>
    <w:rsid w:val="005F1EB0"/>
    <w:rsid w:val="006C4A2C"/>
    <w:rsid w:val="00AB43CB"/>
    <w:rsid w:val="00D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10B4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qFormat/>
    <w:rsid w:val="00F10B4D"/>
    <w:pPr>
      <w:widowControl w:val="0"/>
      <w:spacing w:after="0" w:line="240" w:lineRule="auto"/>
      <w:ind w:left="84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3">
    <w:name w:val="heading 3"/>
    <w:basedOn w:val="a"/>
    <w:link w:val="30"/>
    <w:uiPriority w:val="1"/>
    <w:qFormat/>
    <w:rsid w:val="00F10B4D"/>
    <w:pPr>
      <w:widowControl w:val="0"/>
      <w:spacing w:after="0" w:line="240" w:lineRule="auto"/>
      <w:ind w:left="115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10B4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qFormat/>
    <w:rsid w:val="00F10B4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qFormat/>
    <w:rsid w:val="00F10B4D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uiPriority w:val="1"/>
    <w:qFormat/>
    <w:rsid w:val="00F10B4D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10B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F10B4D"/>
  </w:style>
  <w:style w:type="character" w:customStyle="1" w:styleId="a9">
    <w:name w:val="Нижний колонтитул Знак"/>
    <w:basedOn w:val="a0"/>
    <w:link w:val="aa"/>
    <w:uiPriority w:val="99"/>
    <w:qFormat/>
    <w:rsid w:val="00F10B4D"/>
  </w:style>
  <w:style w:type="character" w:customStyle="1" w:styleId="21">
    <w:name w:val="Основной текст 2 Знак"/>
    <w:basedOn w:val="a0"/>
    <w:link w:val="22"/>
    <w:qFormat/>
    <w:rsid w:val="00F10B4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qFormat/>
    <w:rsid w:val="00F10B4D"/>
  </w:style>
  <w:style w:type="character" w:customStyle="1" w:styleId="12">
    <w:name w:val="Текст выноски Знак1"/>
    <w:basedOn w:val="a0"/>
    <w:uiPriority w:val="99"/>
    <w:semiHidden/>
    <w:qFormat/>
    <w:rsid w:val="00F10B4D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semiHidden/>
    <w:qFormat/>
    <w:rsid w:val="00F10B4D"/>
  </w:style>
  <w:style w:type="character" w:customStyle="1" w:styleId="14">
    <w:name w:val="Нижний колонтитул Знак1"/>
    <w:basedOn w:val="a0"/>
    <w:uiPriority w:val="99"/>
    <w:semiHidden/>
    <w:qFormat/>
    <w:rsid w:val="00F10B4D"/>
  </w:style>
  <w:style w:type="character" w:customStyle="1" w:styleId="210">
    <w:name w:val="Основной текст 2 Знак1"/>
    <w:basedOn w:val="a0"/>
    <w:uiPriority w:val="99"/>
    <w:semiHidden/>
    <w:qFormat/>
    <w:rsid w:val="00F10B4D"/>
  </w:style>
  <w:style w:type="paragraph" w:customStyle="1" w:styleId="ab">
    <w:name w:val="Заголовок"/>
    <w:basedOn w:val="a"/>
    <w:next w:val="a4"/>
    <w:qFormat/>
    <w:rsid w:val="00F10B4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styleId="a4">
    <w:name w:val="Body Text"/>
    <w:basedOn w:val="a"/>
    <w:link w:val="a3"/>
    <w:uiPriority w:val="1"/>
    <w:qFormat/>
    <w:rsid w:val="00F10B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c">
    <w:name w:val="List"/>
    <w:basedOn w:val="a4"/>
    <w:rsid w:val="00F10B4D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F10B4D"/>
    <w:pPr>
      <w:suppressLineNumbers/>
    </w:pPr>
    <w:rPr>
      <w:rFonts w:eastAsia="Calibri" w:cs="Arial"/>
      <w:lang w:eastAsia="ru-RU"/>
    </w:rPr>
  </w:style>
  <w:style w:type="paragraph" w:customStyle="1" w:styleId="caption1">
    <w:name w:val="caption1"/>
    <w:basedOn w:val="a"/>
    <w:qFormat/>
    <w:rsid w:val="00F10B4D"/>
    <w:pPr>
      <w:suppressLineNumbers/>
      <w:spacing w:before="120" w:after="120"/>
    </w:pPr>
    <w:rPr>
      <w:rFonts w:eastAsia="Calibri" w:cs="Arial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qFormat/>
    <w:rsid w:val="00F10B4D"/>
    <w:pPr>
      <w:spacing w:after="0" w:line="240" w:lineRule="auto"/>
      <w:ind w:left="220" w:hanging="220"/>
    </w:pPr>
  </w:style>
  <w:style w:type="paragraph" w:styleId="af">
    <w:name w:val="List Paragraph"/>
    <w:basedOn w:val="a"/>
    <w:uiPriority w:val="99"/>
    <w:qFormat/>
    <w:rsid w:val="00F10B4D"/>
    <w:pPr>
      <w:widowControl w:val="0"/>
      <w:spacing w:after="0" w:line="240" w:lineRule="auto"/>
      <w:ind w:left="4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10B4D"/>
    <w:pPr>
      <w:widowControl w:val="0"/>
      <w:spacing w:after="0" w:line="223" w:lineRule="exact"/>
      <w:ind w:left="103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F10B4D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af0">
    <w:name w:val="Колонтитул"/>
    <w:basedOn w:val="a"/>
    <w:qFormat/>
    <w:rsid w:val="00F10B4D"/>
    <w:rPr>
      <w:rFonts w:eastAsia="Calibri"/>
      <w:lang w:eastAsia="ru-RU"/>
    </w:rPr>
  </w:style>
  <w:style w:type="paragraph" w:styleId="a8">
    <w:name w:val="header"/>
    <w:basedOn w:val="a"/>
    <w:link w:val="a7"/>
    <w:uiPriority w:val="99"/>
    <w:unhideWhenUsed/>
    <w:rsid w:val="00F10B4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10B4D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Body Text 2"/>
    <w:basedOn w:val="a"/>
    <w:link w:val="21"/>
    <w:qFormat/>
    <w:rsid w:val="00F10B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F10B4D"/>
    <w:pPr>
      <w:widowControl w:val="0"/>
    </w:pPr>
    <w:rPr>
      <w:rFonts w:ascii="Times New Roman" w:eastAsia="Times New Roman" w:hAnsi="Times New Roman" w:cs="Times New Roman"/>
      <w:lang w:val="en-US"/>
    </w:rPr>
  </w:style>
  <w:style w:type="numbering" w:customStyle="1" w:styleId="16">
    <w:name w:val="Нет списка1"/>
    <w:uiPriority w:val="99"/>
    <w:semiHidden/>
    <w:unhideWhenUsed/>
    <w:qFormat/>
    <w:rsid w:val="00F10B4D"/>
  </w:style>
  <w:style w:type="numbering" w:customStyle="1" w:styleId="110">
    <w:name w:val="Нет списка11"/>
    <w:uiPriority w:val="99"/>
    <w:semiHidden/>
    <w:unhideWhenUsed/>
    <w:qFormat/>
    <w:rsid w:val="00F10B4D"/>
  </w:style>
  <w:style w:type="numbering" w:customStyle="1" w:styleId="23">
    <w:name w:val="Нет списка2"/>
    <w:uiPriority w:val="99"/>
    <w:semiHidden/>
    <w:unhideWhenUsed/>
    <w:qFormat/>
    <w:rsid w:val="00F10B4D"/>
  </w:style>
  <w:style w:type="numbering" w:customStyle="1" w:styleId="31">
    <w:name w:val="Нет списка3"/>
    <w:uiPriority w:val="99"/>
    <w:semiHidden/>
    <w:unhideWhenUsed/>
    <w:qFormat/>
    <w:rsid w:val="00F10B4D"/>
  </w:style>
  <w:style w:type="table" w:customStyle="1" w:styleId="TableNormal">
    <w:name w:val="Table Normal"/>
    <w:uiPriority w:val="2"/>
    <w:semiHidden/>
    <w:unhideWhenUsed/>
    <w:qFormat/>
    <w:rsid w:val="00F10B4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uiPriority w:val="59"/>
    <w:rsid w:val="00F10B4D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F10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2B88-68FC-4055-951F-6BC87C46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14671</Words>
  <Characters>8364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Користувач DELL</cp:lastModifiedBy>
  <cp:revision>22</cp:revision>
  <cp:lastPrinted>2025-03-10T07:33:00Z</cp:lastPrinted>
  <dcterms:created xsi:type="dcterms:W3CDTF">2025-03-10T06:41:00Z</dcterms:created>
  <dcterms:modified xsi:type="dcterms:W3CDTF">2025-04-01T12:56:00Z</dcterms:modified>
  <dc:language>ru-RU</dc:language>
</cp:coreProperties>
</file>