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96" w:rsidRPr="00550012" w:rsidRDefault="00851C96" w:rsidP="00B731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550012">
        <w:rPr>
          <w:rFonts w:ascii="Times New Roman" w:hAnsi="Times New Roman" w:cs="Times New Roman"/>
          <w:b/>
          <w:sz w:val="28"/>
          <w:szCs w:val="24"/>
          <w:lang w:val="uk-UA"/>
        </w:rPr>
        <w:t>Прогноз</w:t>
      </w:r>
    </w:p>
    <w:p w:rsidR="00851C96" w:rsidRPr="00B7310F" w:rsidRDefault="00851C96" w:rsidP="00B731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310F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5C273F" w:rsidRPr="00B7310F">
        <w:rPr>
          <w:rFonts w:ascii="Times New Roman" w:hAnsi="Times New Roman" w:cs="Times New Roman"/>
          <w:b/>
          <w:sz w:val="24"/>
          <w:szCs w:val="24"/>
          <w:lang w:val="uk-UA"/>
        </w:rPr>
        <w:t>юджет</w:t>
      </w:r>
      <w:r w:rsidRPr="00B731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Смолінської </w:t>
      </w:r>
      <w:r w:rsidR="00F55642" w:rsidRPr="00B731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</w:t>
      </w:r>
      <w:r w:rsidRPr="00B7310F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</w:p>
    <w:p w:rsidR="00851C96" w:rsidRPr="00B7310F" w:rsidRDefault="00851C96" w:rsidP="00B731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310F"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F855A7" w:rsidRPr="00B7310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B7310F">
        <w:rPr>
          <w:rFonts w:ascii="Times New Roman" w:hAnsi="Times New Roman" w:cs="Times New Roman"/>
          <w:b/>
          <w:sz w:val="24"/>
          <w:szCs w:val="24"/>
          <w:lang w:val="uk-UA"/>
        </w:rPr>
        <w:t>- 202</w:t>
      </w:r>
      <w:r w:rsidR="00F855A7" w:rsidRPr="00B7310F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B731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p w:rsidR="00851C96" w:rsidRPr="00B7310F" w:rsidRDefault="00851C96" w:rsidP="00B7310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7310F">
        <w:rPr>
          <w:rFonts w:ascii="Times New Roman" w:hAnsi="Times New Roman" w:cs="Times New Roman"/>
          <w:b/>
          <w:sz w:val="20"/>
          <w:szCs w:val="20"/>
          <w:lang w:val="uk-UA"/>
        </w:rPr>
        <w:t>код</w:t>
      </w:r>
      <w:r w:rsidR="00B7310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7310F" w:rsidRPr="00B7310F">
        <w:rPr>
          <w:rFonts w:ascii="Times New Roman" w:hAnsi="Times New Roman" w:cs="Times New Roman"/>
          <w:b/>
          <w:sz w:val="20"/>
          <w:szCs w:val="20"/>
          <w:lang w:val="uk-UA"/>
        </w:rPr>
        <w:t>11512000000</w:t>
      </w:r>
    </w:p>
    <w:p w:rsidR="00851C96" w:rsidRPr="00550012" w:rsidRDefault="00851C96" w:rsidP="005425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0012">
        <w:rPr>
          <w:rFonts w:ascii="Times New Roman" w:hAnsi="Times New Roman" w:cs="Times New Roman"/>
          <w:b/>
          <w:sz w:val="24"/>
          <w:szCs w:val="24"/>
          <w:lang w:val="uk-UA"/>
        </w:rPr>
        <w:t>1. Загальна частина</w:t>
      </w:r>
    </w:p>
    <w:p w:rsidR="00D55C07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Прогноз бюджету Смолінської селищної територіальної громади на 202</w:t>
      </w:r>
      <w:r w:rsidR="009961E3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6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−202</w:t>
      </w:r>
      <w:r w:rsidR="009961E3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8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роки (далі ‒ Прогноз) визначає основні напрями дій в середньостроковій перспективі, які сприятимуть досягненню довгострокових стратегічних цілей.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Прогноз розроблени</w:t>
      </w:r>
      <w:r w:rsidR="00F55642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й відповідно до вимог статті 75.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1 Бюджетного кодексу України, Податкового кодексу України, постановою Каб</w:t>
      </w:r>
      <w:r w:rsidR="00AB37C8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інету Міністрів України від 27.06.2025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року №</w:t>
      </w:r>
      <w:r w:rsidR="00AB37C8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774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«Про схвале</w:t>
      </w:r>
      <w:r w:rsidR="00AB37C8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ння Бюджетної декларації на 2026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−</w:t>
      </w:r>
      <w:r w:rsidR="00AB37C8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2028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роки»,</w:t>
      </w:r>
      <w:r w:rsidR="00B508F8" w:rsidRPr="0054251F">
        <w:rPr>
          <w:rFonts w:ascii="Times New Roman" w:hAnsi="Times New Roman" w:cs="Times New Roman"/>
          <w:lang w:val="uk-UA"/>
        </w:rPr>
        <w:t xml:space="preserve"> </w:t>
      </w:r>
      <w:r w:rsidR="00B508F8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постанови Кабінету Міністрів України від 05 серпня 2020 року № 695 «Про затвердження Державної стратегії регіонального розвитку на 2021−2027 роки»;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B508F8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постанови Кабінету Міністрів України від 28 лютого 2025 року № 294 «Про затвердження Порядку розроблення та моніторингу реалізації середньострокового плану пріоритетних публічних інвестицій держави»; розпорядження Кабінету Міністрів України від 18 березня 2024 року № 244-р «Про схвалення Плану України»; розпорядження Кабінету Міністрів України від 29 грудня 2021 року № 1805-р «Про схвалення Стратегії реформування системи управління державними фінансами на 2022−2025 роки та плану заходів з її реалізації»; розпорядження Кабінету Міністрів України від 27 грудня 2023 року № 1218-р «Про схвалення Національної стратегії доходів до 2030 року»;</w:t>
      </w:r>
      <w:r w:rsidR="007F221D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Інструкцію щодо підготовки бюджетної пропозиції, затверджену наказом Міністерства фінансів Укра</w:t>
      </w:r>
      <w:r w:rsidR="00B508F8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їни від 06.10.2023 року №534 (з </w:t>
      </w:r>
      <w:r w:rsidR="007F221D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урахуванням змін);методичні рекомендації щодо організації середньострокового бюджетного планування на місцевому рівні, з</w:t>
      </w:r>
      <w:r w:rsidR="00B508F8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атверджені наказом Міністерства </w:t>
      </w:r>
      <w:r w:rsidR="007F221D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фінансів України від 23.05.2025 року №271</w:t>
      </w:r>
      <w:r w:rsidR="007F221D" w:rsidRPr="0054251F">
        <w:rPr>
          <w:rStyle w:val="fontstyle01"/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;</w:t>
      </w:r>
      <w:r w:rsidR="007F221D" w:rsidRPr="0054251F">
        <w:rPr>
          <w:rFonts w:ascii="Times New Roman" w:hAnsi="Times New Roman" w:cs="Times New Roman"/>
          <w:lang w:val="uk-UA"/>
        </w:rPr>
        <w:t xml:space="preserve"> </w:t>
      </w:r>
      <w:r w:rsidR="007F221D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Типову форму прогнозу місцевого бюджету та Інструкцію щодо його складання, затверджені наказом Мі</w:t>
      </w:r>
      <w:r w:rsidR="00B508F8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ністерства фінансів України від </w:t>
      </w:r>
      <w:r w:rsidR="007F221D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02.06.2021 року №314 (з урахуванням змін)</w:t>
      </w:r>
      <w:r w:rsidR="00B508F8" w:rsidRPr="0054251F">
        <w:rPr>
          <w:rStyle w:val="fontstyle01"/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,</w:t>
      </w:r>
      <w:r w:rsidR="00F55642" w:rsidRPr="0054251F">
        <w:rPr>
          <w:rStyle w:val="fontstyle01"/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 xml:space="preserve"> </w:t>
      </w:r>
      <w:r w:rsidR="00F55642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селищних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(регіональних) програм</w:t>
      </w:r>
      <w:r w:rsidRPr="0054251F">
        <w:rPr>
          <w:rStyle w:val="fontstyle01"/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.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Метою середньострокового бюджетного прогнозування є визначення фінансового ресурсу бюджету селищної територіальної громади на середньострокову перспективу, створення дієвого механізму управління бюджетним процесом, встановлення взаємозв’язку між стратегічними цілями розвитку громади та можливостями бюджету у середньостроковій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перспективі, забезпечення прозорості, передбачуваності та послідовності бюджетної політики.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Основними завданнями (пріоритетами) бюджетної політики селищної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територіальної громади на середньострокову перспективу є: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- планування реальних надходжень бюджету на основі прогнозних </w:t>
      </w:r>
      <w:proofErr w:type="spellStart"/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макропоказників</w:t>
      </w:r>
      <w:proofErr w:type="spellEnd"/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економічного і соціа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льного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розвитку громади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з урахуванням зміни бази оподаткування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 фактичного рівня відповідних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надходжень за минулі періоди;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- забезпечення виконання дох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ідної частини селищного бюджету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відповідно до показників, затверджених селищною радою;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- вжиття заходів щодо залучення дод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аткових надходжень до селищного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бюджету, зокрема шляхом забезпечення е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фективного управління об’єктами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комунальної власності та земельними ресурсами;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- забезпечення самостійност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і бюджету, зміцнення фінансової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спроможності громади, підвищення прозор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ості та ефективності управління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бюджетними коштами;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- використання фінансових рес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урсів таким чином, щоб отримати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максимальний економічний ефект і виріши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ти найбільш нагальні та важливі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завдання;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- послідовна та передбачувана бюд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жетна політика, яка дозволить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забезпечити фінансову стабільність територіальної громади;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- прогнозованість та ефективність 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бюджетних видатків, спрямованих 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на підвищення якості місцевих послуг;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- удосконалення системи результативних показників з метою підви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щення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якості надання послуг у відповідних сферах;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- посилення бюджетної дисциплін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и для всіх учасників бюджетного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процесу;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- активізація підприємницького потен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ціалу, зниження частки тіньової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економіки для підвищення податкоспроможності суб’єктів господарювання;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- забезпечення фінансування інвестиційних </w:t>
      </w:r>
      <w:proofErr w:type="spellStart"/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проєктів</w:t>
      </w:r>
      <w:proofErr w:type="spellEnd"/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(програм), </w:t>
      </w:r>
      <w:proofErr w:type="spellStart"/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щомають</w:t>
      </w:r>
      <w:proofErr w:type="spellEnd"/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термін реалізації більше одного року;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- запровадження дієвих заходів з енергозбереження;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- покращення добробуту та якості ж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иття населення шляхом виконання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державних соціальних стандартів та гарантій.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Прогноз спрямований на реалізацію 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цілей державної політики у всіх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сферах, забезпечення пріоритетних на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прямків розвитку територіальної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громади та виконання завдань селищних ці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льових програм, що забезпечують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вирішення нагальних проблем жителів громади.</w:t>
      </w:r>
    </w:p>
    <w:p w:rsidR="00E120F9" w:rsidRPr="0054251F" w:rsidRDefault="00E120F9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Прогноз включає основні показ</w:t>
      </w:r>
      <w:r w:rsidR="000759F5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ники економічного і соціального 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розвитку Смолінської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селищної тери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торіальної громади, індикативні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прогнозні показники бюджету за основними 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видами доходів, фінансу</w:t>
      </w:r>
      <w:r w:rsidR="000759F5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вання 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видатків, взаємовідносини селищного бюдж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ету з державним бюджетом та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іншими місцевими бюджетами.</w:t>
      </w:r>
    </w:p>
    <w:p w:rsidR="00730577" w:rsidRPr="0054251F" w:rsidRDefault="000759F5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рогноз ґрунтується на принципах збалансованості, обґрунтованості,</w:t>
      </w:r>
      <w:r w:rsidR="0054251F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ефективності та результативності бюджетної системи.</w:t>
      </w:r>
    </w:p>
    <w:p w:rsidR="00730577" w:rsidRPr="0054251F" w:rsidRDefault="00B508F8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Прогнозні показники 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бюджету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селищної територіальної громади 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на 202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6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-202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8</w:t>
      </w:r>
      <w:r w:rsidR="00730577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роки є основою для складання головними розпорядниками бюджетних коштів планів своєї діяльності та формування показників проєкту селищного бюджету.</w:t>
      </w:r>
    </w:p>
    <w:p w:rsidR="00730577" w:rsidRPr="0054251F" w:rsidRDefault="00730577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Можливими ризиками невиконання прогнозних показників при несприятливих зовнішніх факторах впливу на економіку країни і, як наслідок, на фінансово-економічну ситуацію регіону та територіальної громади, є недосягнення запланованих темпів зростання фонду оплати праці, що призведе до невиконання прогнозних показників з податку на доходи</w:t>
      </w:r>
      <w:r w:rsidR="0054251F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фізичних осіб, що є основним бюджетоутворюючим джерелом наповнення</w:t>
      </w:r>
      <w:r w:rsidR="0054251F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бюджету.</w:t>
      </w:r>
    </w:p>
    <w:p w:rsidR="00CC3A78" w:rsidRPr="0054251F" w:rsidRDefault="00CC3A78" w:rsidP="0054251F">
      <w:pPr>
        <w:tabs>
          <w:tab w:val="left" w:pos="8931"/>
        </w:tabs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CC3A78" w:rsidRPr="0054251F" w:rsidRDefault="00550345" w:rsidP="007F3282">
      <w:pPr>
        <w:tabs>
          <w:tab w:val="left" w:pos="8931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gramStart"/>
      <w:r w:rsidRPr="0054251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>І.</w:t>
      </w:r>
      <w:proofErr w:type="gramEnd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>Основні</w:t>
      </w:r>
      <w:proofErr w:type="spellEnd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>прогнозні</w:t>
      </w:r>
      <w:proofErr w:type="spellEnd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>показники</w:t>
      </w:r>
      <w:proofErr w:type="spellEnd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>економічного</w:t>
      </w:r>
      <w:proofErr w:type="spellEnd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proofErr w:type="gramStart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>соц</w:t>
      </w:r>
      <w:proofErr w:type="gramEnd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>іального</w:t>
      </w:r>
      <w:proofErr w:type="spellEnd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CC3A78" w:rsidRPr="0054251F">
        <w:rPr>
          <w:rFonts w:ascii="Times New Roman" w:hAnsi="Times New Roman" w:cs="Times New Roman"/>
          <w:b/>
          <w:bCs/>
          <w:sz w:val="24"/>
          <w:szCs w:val="24"/>
        </w:rPr>
        <w:t>розвитку</w:t>
      </w:r>
      <w:proofErr w:type="spellEnd"/>
    </w:p>
    <w:p w:rsidR="00771C15" w:rsidRDefault="00771C15" w:rsidP="0054251F">
      <w:pPr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Прогноз на</w:t>
      </w:r>
      <w:r w:rsidRPr="005425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середньострокову перспективу ґрунтується на економічній політиці, спрямованій на реформування економіки країни, визначеної у стратегічних</w:t>
      </w:r>
      <w:r w:rsidRPr="005425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документах Уряду, зокрема у Національній економічній стратегії на період до</w:t>
      </w:r>
      <w:r w:rsidRPr="005425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2030 року, затвердженій постановою Кабінету Міністрів України від 03 березня</w:t>
      </w:r>
      <w:r w:rsidRPr="005425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2021 року № 179, </w:t>
      </w:r>
      <w:r w:rsidR="0000719A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розпорядження Кабінету Міністрів України від 18 березня 2024 року № 244-</w:t>
      </w:r>
      <w:r w:rsidR="0054251F"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р «Про схвалення Плану України»</w:t>
      </w:r>
      <w:r w:rsidRPr="0054251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, а також інших стратегічних та програмних документах.</w:t>
      </w:r>
    </w:p>
    <w:p w:rsidR="00332377" w:rsidRPr="0054251F" w:rsidRDefault="00332377" w:rsidP="0054251F">
      <w:pPr>
        <w:spacing w:after="0" w:line="240" w:lineRule="auto"/>
        <w:ind w:firstLine="68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81BA4" w:rsidRPr="0054251F" w:rsidRDefault="008E176C" w:rsidP="007F3282">
      <w:pPr>
        <w:tabs>
          <w:tab w:val="left" w:pos="8931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</w:t>
      </w:r>
      <w:proofErr w:type="spellStart"/>
      <w:r w:rsidR="00D81BA4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акропоказники</w:t>
      </w:r>
      <w:proofErr w:type="spellEnd"/>
      <w:r w:rsidR="00D81BA4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81BA4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економічног</w:t>
      </w:r>
      <w:r w:rsidR="00771C15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spellEnd"/>
      <w:r w:rsidR="00771C15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="00771C15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соціального</w:t>
      </w:r>
      <w:proofErr w:type="spellEnd"/>
      <w:r w:rsidR="00771C15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71C15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розвитку</w:t>
      </w:r>
      <w:proofErr w:type="spellEnd"/>
      <w:r w:rsidR="00771C15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71C15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</w:t>
      </w:r>
      <w:r w:rsidR="00771C15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ни</w:t>
      </w:r>
      <w:proofErr w:type="spellEnd"/>
      <w:r w:rsidR="00D81BA4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 202</w:t>
      </w:r>
      <w:r w:rsidR="0000719A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 w:rsidR="00D81BA4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00719A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</w:t>
      </w:r>
      <w:r w:rsidR="00D81BA4" w:rsidRPr="00542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роках</w:t>
      </w:r>
    </w:p>
    <w:p w:rsidR="00105748" w:rsidRPr="0054251F" w:rsidRDefault="00105748" w:rsidP="0054251F">
      <w:pPr>
        <w:tabs>
          <w:tab w:val="left" w:pos="893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8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4"/>
        <w:gridCol w:w="1423"/>
        <w:gridCol w:w="1424"/>
        <w:gridCol w:w="1898"/>
      </w:tblGrid>
      <w:tr w:rsidR="002E4AC1" w:rsidRPr="0054251F" w:rsidTr="007F3282">
        <w:trPr>
          <w:trHeight w:val="376"/>
        </w:trPr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00719A" w:rsidP="0054251F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4251F">
              <w:rPr>
                <w:rFonts w:ascii="Times New Roman" w:hAnsi="Times New Roman" w:cs="Times New Roman"/>
              </w:rPr>
              <w:t>Назва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637483" w:rsidP="0054251F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4251F">
              <w:rPr>
                <w:rFonts w:ascii="Times New Roman" w:hAnsi="Times New Roman" w:cs="Times New Roman"/>
              </w:rPr>
              <w:t>202</w:t>
            </w:r>
            <w:r w:rsidRPr="0054251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637483" w:rsidP="0054251F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4251F">
              <w:rPr>
                <w:rFonts w:ascii="Times New Roman" w:hAnsi="Times New Roman" w:cs="Times New Roman"/>
              </w:rPr>
              <w:t>202</w:t>
            </w:r>
            <w:r w:rsidRPr="0054251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637483" w:rsidP="0054251F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4251F">
              <w:rPr>
                <w:rFonts w:ascii="Times New Roman" w:hAnsi="Times New Roman" w:cs="Times New Roman"/>
              </w:rPr>
              <w:t>202</w:t>
            </w:r>
            <w:r w:rsidRPr="0054251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2E4AC1" w:rsidRPr="0054251F" w:rsidTr="007F3282">
        <w:trPr>
          <w:trHeight w:val="255"/>
        </w:trPr>
        <w:tc>
          <w:tcPr>
            <w:tcW w:w="5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00719A" w:rsidP="0054251F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00719A" w:rsidP="0054251F">
            <w:pPr>
              <w:tabs>
                <w:tab w:val="left" w:pos="2045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4251F">
              <w:rPr>
                <w:rFonts w:ascii="Times New Roman" w:hAnsi="Times New Roman" w:cs="Times New Roman"/>
                <w:lang w:val="uk-UA"/>
              </w:rPr>
              <w:t>прогноз</w:t>
            </w:r>
          </w:p>
        </w:tc>
      </w:tr>
      <w:tr w:rsidR="002E4AC1" w:rsidRPr="0054251F" w:rsidTr="007F3282">
        <w:trPr>
          <w:trHeight w:val="582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00719A" w:rsidP="007F32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Валовий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внутрішній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продукт: </w:t>
            </w:r>
            <w:proofErr w:type="spellStart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номінальний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млрд</w:t>
            </w:r>
            <w:proofErr w:type="gramEnd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грн</w:t>
            </w:r>
          </w:p>
        </w:tc>
        <w:tc>
          <w:tcPr>
            <w:tcW w:w="1423" w:type="dxa"/>
            <w:vAlign w:val="center"/>
          </w:tcPr>
          <w:p w:rsidR="0000719A" w:rsidRPr="0054251F" w:rsidRDefault="00637483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51F">
              <w:rPr>
                <w:rFonts w:ascii="Times New Roman" w:hAnsi="Times New Roman" w:cs="Times New Roman"/>
              </w:rPr>
              <w:t xml:space="preserve"> </w:t>
            </w: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10 443,5</w:t>
            </w:r>
            <w:r w:rsidR="0000719A"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00719A" w:rsidRPr="0054251F" w:rsidRDefault="00637483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11 920,9 </w:t>
            </w:r>
          </w:p>
        </w:tc>
        <w:tc>
          <w:tcPr>
            <w:tcW w:w="1898" w:type="dxa"/>
            <w:vAlign w:val="center"/>
          </w:tcPr>
          <w:p w:rsidR="0000719A" w:rsidRPr="0054251F" w:rsidRDefault="005B1842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13 471,7 </w:t>
            </w:r>
          </w:p>
        </w:tc>
      </w:tr>
      <w:tr w:rsidR="002E4AC1" w:rsidRPr="0054251F" w:rsidTr="007F3282">
        <w:trPr>
          <w:trHeight w:val="484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00719A" w:rsidP="007F32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до </w:t>
            </w:r>
            <w:proofErr w:type="spellStart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попереднього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1C0A0F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1C0A0F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5,0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6472AF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5,</w:t>
            </w:r>
            <w:r w:rsidR="001C0A0F" w:rsidRPr="00542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  <w:p w:rsidR="001C0A0F" w:rsidRPr="0054251F" w:rsidRDefault="001C0A0F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0719A" w:rsidRPr="0054251F" w:rsidTr="007F3282">
        <w:trPr>
          <w:trHeight w:val="914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00719A" w:rsidP="007F32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Індекс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споживчих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цін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(ІСЦ): </w:t>
            </w:r>
            <w:r w:rsidR="002E4AC1"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у середньому до попереднього року</w:t>
            </w: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2E4AC1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2E4AC1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107,1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2E4AC1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105,6</w:t>
            </w:r>
          </w:p>
        </w:tc>
      </w:tr>
      <w:tr w:rsidR="0000719A" w:rsidRPr="0054251F" w:rsidTr="007F3282">
        <w:trPr>
          <w:trHeight w:val="914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00719A" w:rsidP="007F32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Індекс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цін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виробників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(ІЦВ): </w:t>
            </w:r>
            <w:proofErr w:type="spellStart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грудня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попереднього</w:t>
            </w:r>
            <w:proofErr w:type="spellEnd"/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року, 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2E4AC1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2E4AC1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109,4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9A" w:rsidRPr="0054251F" w:rsidRDefault="002E4AC1" w:rsidP="007F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5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107,9</w:t>
            </w:r>
          </w:p>
        </w:tc>
      </w:tr>
    </w:tbl>
    <w:p w:rsidR="008E08F0" w:rsidRPr="0054251F" w:rsidRDefault="008E08F0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</w:rPr>
      </w:pPr>
      <w:r w:rsidRPr="0054251F">
        <w:rPr>
          <w:rFonts w:ascii="Times New Roman" w:hAnsi="Times New Roman" w:cs="Times New Roman"/>
          <w:color w:val="943634" w:themeColor="accent2" w:themeShade="BF"/>
        </w:rPr>
        <w:t xml:space="preserve"> </w:t>
      </w:r>
    </w:p>
    <w:p w:rsidR="006E18BC" w:rsidRPr="0054251F" w:rsidRDefault="006E18BC" w:rsidP="0054251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Метою прогнозу бюджету Смолінської селищної територіальної громади на 202</w:t>
      </w:r>
      <w:r w:rsidR="00CA3B51"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CA3B51"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 є створення механізму управління бюджетним процесом, встановлення взаємозв’язку між стратегічними цілями та можливостями бюджету у середньостроковій перспективі, забезпечення передбачуваності та послідовності бюджетної політики сел</w:t>
      </w:r>
      <w:r w:rsidR="00105748"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ища.</w:t>
      </w:r>
      <w:r w:rsidR="00CA3B51"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Нормативно</w:t>
      </w:r>
      <w:r w:rsidRPr="005425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-правова база, відповідно</w:t>
      </w: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якої здійснювався розрахунок Прогнозу:</w:t>
      </w:r>
    </w:p>
    <w:p w:rsidR="006E18BC" w:rsidRPr="0054251F" w:rsidRDefault="006E18BC" w:rsidP="0054251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Бюджетний кодекс України;</w:t>
      </w:r>
    </w:p>
    <w:p w:rsidR="006E18BC" w:rsidRPr="0054251F" w:rsidRDefault="006E18BC" w:rsidP="0054251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Податковий кодекс України;</w:t>
      </w:r>
    </w:p>
    <w:p w:rsidR="006E18BC" w:rsidRPr="0054251F" w:rsidRDefault="006E18BC" w:rsidP="0054251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 України </w:t>
      </w:r>
      <w:r w:rsidRPr="0054251F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місцеве самоврядування в Україні</w:t>
      </w:r>
      <w:r w:rsidRPr="0054251F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E18BC" w:rsidRPr="0054251F" w:rsidRDefault="006E18BC" w:rsidP="0054251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Бюджетна декларація на 202</w:t>
      </w:r>
      <w:r w:rsidR="00CA3B51"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CA3B51"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роки, схваленою п</w:t>
      </w:r>
      <w:r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остановою Кабінету Міністрів України від </w:t>
      </w:r>
      <w:r w:rsidR="00CA3B51"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27</w:t>
      </w:r>
      <w:r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.0</w:t>
      </w:r>
      <w:r w:rsidR="00CA3B51"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6</w:t>
      </w:r>
      <w:r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.202</w:t>
      </w:r>
      <w:r w:rsidR="00CA3B51"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5</w:t>
      </w:r>
      <w:r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року №</w:t>
      </w:r>
      <w:r w:rsidRPr="0054251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 </w:t>
      </w:r>
      <w:r w:rsidR="00CA3B51"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774</w:t>
      </w:r>
      <w:r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;</w:t>
      </w:r>
    </w:p>
    <w:p w:rsidR="006E18BC" w:rsidRPr="0054251F" w:rsidRDefault="00CA3B51" w:rsidP="0054251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Інструкцію щодо підготовки бюджетної пропозиції, затверджену наказом Міністерства фінансів України від 06.10.2023 року №534 (з урахуванням змін);методичні рекомендації щодо організації середньострокового бюджетного планування на місцевому рівні, затверджені наказом Міністерства фінансів України від 23.05.2025 року №271; Типову форму прогнозу місцевого бюджету та Інструкцію щодо його складання, затверджені наказом Міністерства фінансів України від 02.06.2021 </w:t>
      </w:r>
      <w:r w:rsidR="0054251F"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року №314 (з урахуванням змін)</w:t>
      </w:r>
      <w:r w:rsidR="006E18BC" w:rsidRPr="0054251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”</w:t>
      </w:r>
    </w:p>
    <w:p w:rsidR="00C717F8" w:rsidRPr="0054251F" w:rsidRDefault="00771C15" w:rsidP="0054251F">
      <w:pPr>
        <w:pStyle w:val="a3"/>
        <w:spacing w:before="0" w:beforeAutospacing="0" w:after="0" w:afterAutospacing="0"/>
        <w:ind w:firstLine="680"/>
        <w:jc w:val="both"/>
      </w:pPr>
      <w:r w:rsidRPr="0054251F">
        <w:rPr>
          <w:rStyle w:val="fontstyle01"/>
          <w:rFonts w:ascii="Times New Roman" w:hAnsi="Times New Roman"/>
          <w:color w:val="auto"/>
          <w:sz w:val="24"/>
          <w:szCs w:val="24"/>
        </w:rPr>
        <w:t>Для здійснення аналізу розвитку громади використано динаміку показників розвитку Смолінської територіаль</w:t>
      </w:r>
      <w:r w:rsidR="00105748" w:rsidRPr="0054251F">
        <w:rPr>
          <w:rStyle w:val="fontstyle01"/>
          <w:rFonts w:ascii="Times New Roman" w:hAnsi="Times New Roman"/>
          <w:color w:val="auto"/>
          <w:sz w:val="24"/>
          <w:szCs w:val="24"/>
        </w:rPr>
        <w:t>ної громади у 202</w:t>
      </w:r>
      <w:r w:rsidR="00CA3B51" w:rsidRPr="0054251F">
        <w:rPr>
          <w:rStyle w:val="fontstyle01"/>
          <w:rFonts w:ascii="Times New Roman" w:hAnsi="Times New Roman"/>
          <w:color w:val="auto"/>
          <w:sz w:val="24"/>
          <w:szCs w:val="24"/>
        </w:rPr>
        <w:t>3</w:t>
      </w:r>
      <w:r w:rsidR="00105748" w:rsidRPr="0054251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-202</w:t>
      </w:r>
      <w:r w:rsidR="00D55C07" w:rsidRPr="0054251F">
        <w:rPr>
          <w:rStyle w:val="fontstyle01"/>
          <w:rFonts w:ascii="Times New Roman" w:hAnsi="Times New Roman"/>
          <w:color w:val="auto"/>
          <w:sz w:val="24"/>
          <w:szCs w:val="24"/>
        </w:rPr>
        <w:t>5</w:t>
      </w:r>
      <w:r w:rsidR="00105748" w:rsidRPr="0054251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роках.</w:t>
      </w:r>
      <w:r w:rsidR="00784D13" w:rsidRPr="0054251F">
        <w:rPr>
          <w:sz w:val="28"/>
          <w:szCs w:val="28"/>
          <w:lang w:eastAsia="ru-RU"/>
        </w:rPr>
        <w:t xml:space="preserve"> </w:t>
      </w:r>
      <w:r w:rsidR="00623C18" w:rsidRPr="0054251F">
        <w:t>Економічна ситуація громади специфічна у порівнянні з іншими територіями України, оскільки вона залежить від роботи</w:t>
      </w:r>
      <w:r w:rsidR="00C717F8" w:rsidRPr="0054251F">
        <w:t xml:space="preserve"> </w:t>
      </w:r>
      <w:proofErr w:type="spellStart"/>
      <w:r w:rsidR="00C717F8" w:rsidRPr="0054251F">
        <w:t>містоутворюючого</w:t>
      </w:r>
      <w:proofErr w:type="spellEnd"/>
      <w:r w:rsidR="00C717F8" w:rsidRPr="0054251F">
        <w:t xml:space="preserve"> підприємства ДП «Схід ГЗК» Смолінська шахта</w:t>
      </w:r>
      <w:r w:rsidR="00623C18" w:rsidRPr="0054251F">
        <w:t>, в якій працю</w:t>
      </w:r>
      <w:r w:rsidR="00CA3B51" w:rsidRPr="0054251F">
        <w:t>вало</w:t>
      </w:r>
      <w:r w:rsidR="00623C18" w:rsidRPr="0054251F">
        <w:t xml:space="preserve"> близько 1 тис. працівників. Підприємство знаходиться на стадії рецесії, зменшується видобуток та скорочують працівників. За інформацією керівництва ДП «Схід ГЗК» Смолінська шахта перейде через 2-3 роки на етап консервації та рекультивації навколишніх територій.</w:t>
      </w:r>
      <w:r w:rsidR="00C04D65" w:rsidRPr="0054251F">
        <w:t xml:space="preserve">  </w:t>
      </w:r>
      <w:r w:rsidR="00623C18" w:rsidRPr="0054251F">
        <w:t xml:space="preserve"> Малий та середній бізнес діє, перш за все, у сфері торгівлі (головним чином продовольчі і промислові магазини) i сфері послуг (майстерні автосервісу, банківська система, телекомунікаційні послуги</w:t>
      </w:r>
      <w:r w:rsidR="0066060F" w:rsidRPr="0054251F">
        <w:t>)</w:t>
      </w:r>
      <w:r w:rsidR="00623C18" w:rsidRPr="0054251F">
        <w:t>. Якщо йдеться про сільськогосподарське виробництво, то домінує вирощування традиційних культур (пшениця, кукурудза, соняшник, соя). Якіс</w:t>
      </w:r>
      <w:r w:rsidR="00C04D65" w:rsidRPr="0054251F">
        <w:t xml:space="preserve">ть землі є висока (чорноземи). </w:t>
      </w:r>
      <w:r w:rsidR="00C717F8" w:rsidRPr="0054251F">
        <w:t xml:space="preserve"> </w:t>
      </w:r>
      <w:r w:rsidR="00C717F8" w:rsidRPr="0054251F">
        <w:rPr>
          <w:lang w:eastAsia="ru-RU"/>
        </w:rPr>
        <w:t xml:space="preserve"> Основну частину земель сіл</w:t>
      </w:r>
      <w:r w:rsidR="00C04D65" w:rsidRPr="0054251F">
        <w:rPr>
          <w:lang w:eastAsia="ru-RU"/>
        </w:rPr>
        <w:t xml:space="preserve">ьськогосподарського призначення </w:t>
      </w:r>
      <w:r w:rsidR="00C717F8" w:rsidRPr="0054251F">
        <w:rPr>
          <w:lang w:eastAsia="ru-RU"/>
        </w:rPr>
        <w:t xml:space="preserve">обробляють сільськогосподарські підприємства:  </w:t>
      </w:r>
      <w:r w:rsidR="00C717F8" w:rsidRPr="0054251F">
        <w:rPr>
          <w:sz w:val="20"/>
          <w:szCs w:val="20"/>
        </w:rPr>
        <w:t xml:space="preserve">СТОВ </w:t>
      </w:r>
      <w:r w:rsidR="00C717F8" w:rsidRPr="0054251F">
        <w:t>"Агрофірма "Вікторія" , СТОВ "Агрофірма  Нововознесенська»" , СТОВ "Гарт" , СТОВ "Злагода" , СТОВ "Хутірське" , СФГ "Мрія" , СФГ "Тучков" , СФГ "</w:t>
      </w:r>
      <w:proofErr w:type="spellStart"/>
      <w:r w:rsidR="00C717F8" w:rsidRPr="0054251F">
        <w:t>Подлецького</w:t>
      </w:r>
      <w:proofErr w:type="spellEnd"/>
      <w:r w:rsidR="00C717F8" w:rsidRPr="0054251F">
        <w:t>" , ФГ "Три поля" , ФГ "</w:t>
      </w:r>
      <w:proofErr w:type="spellStart"/>
      <w:r w:rsidR="00C717F8" w:rsidRPr="0054251F">
        <w:t>Березівське</w:t>
      </w:r>
      <w:proofErr w:type="spellEnd"/>
      <w:r w:rsidR="00C717F8" w:rsidRPr="0054251F">
        <w:t>" , ФГ "Полковницьке" , ФГ «</w:t>
      </w:r>
      <w:proofErr w:type="spellStart"/>
      <w:r w:rsidR="00C717F8" w:rsidRPr="0054251F">
        <w:t>Полохівське</w:t>
      </w:r>
      <w:proofErr w:type="spellEnd"/>
      <w:r w:rsidR="00C717F8" w:rsidRPr="0054251F">
        <w:t>», ФГ» Злагода» , ФГ "</w:t>
      </w:r>
      <w:proofErr w:type="spellStart"/>
      <w:r w:rsidR="00C717F8" w:rsidRPr="0054251F">
        <w:t>Каір</w:t>
      </w:r>
      <w:proofErr w:type="spellEnd"/>
      <w:r w:rsidR="00C717F8" w:rsidRPr="0054251F">
        <w:t xml:space="preserve"> Агро" , ФГ"</w:t>
      </w:r>
      <w:proofErr w:type="spellStart"/>
      <w:r w:rsidR="00C717F8" w:rsidRPr="0054251F">
        <w:t>Лідянське</w:t>
      </w:r>
      <w:proofErr w:type="spellEnd"/>
      <w:r w:rsidR="00C717F8" w:rsidRPr="0054251F">
        <w:t>" , ФГ «Щедре» , СФГ "</w:t>
      </w:r>
      <w:proofErr w:type="spellStart"/>
      <w:r w:rsidR="00C717F8" w:rsidRPr="0054251F">
        <w:t>Подольське</w:t>
      </w:r>
      <w:proofErr w:type="spellEnd"/>
      <w:r w:rsidR="00C717F8" w:rsidRPr="0054251F">
        <w:t>", ТОВ « Агрофірма Колос» , ТОВ "</w:t>
      </w:r>
      <w:proofErr w:type="spellStart"/>
      <w:r w:rsidR="00C717F8" w:rsidRPr="0054251F">
        <w:t>Агрородина</w:t>
      </w:r>
      <w:proofErr w:type="spellEnd"/>
      <w:r w:rsidR="00C717F8" w:rsidRPr="0054251F">
        <w:t xml:space="preserve">" , ТОВ"Агрофірма </w:t>
      </w:r>
      <w:proofErr w:type="spellStart"/>
      <w:r w:rsidR="00C717F8" w:rsidRPr="0054251F">
        <w:t>Забарська</w:t>
      </w:r>
      <w:proofErr w:type="spellEnd"/>
      <w:r w:rsidR="00C717F8" w:rsidRPr="0054251F">
        <w:t>" , ТОВ "</w:t>
      </w:r>
      <w:proofErr w:type="spellStart"/>
      <w:r w:rsidR="00C717F8" w:rsidRPr="0054251F">
        <w:t>Агрошанс</w:t>
      </w:r>
      <w:proofErr w:type="spellEnd"/>
      <w:r w:rsidR="00C717F8" w:rsidRPr="0054251F">
        <w:t>".</w:t>
      </w:r>
    </w:p>
    <w:p w:rsidR="00932D6C" w:rsidRPr="0054251F" w:rsidRDefault="00647DF6" w:rsidP="0054251F">
      <w:pPr>
        <w:pStyle w:val="a3"/>
        <w:spacing w:before="0" w:beforeAutospacing="0" w:after="0" w:afterAutospacing="0"/>
        <w:ind w:firstLine="680"/>
        <w:jc w:val="both"/>
        <w:rPr>
          <w:lang w:eastAsia="ru-RU"/>
        </w:rPr>
      </w:pPr>
      <w:r w:rsidRPr="0054251F">
        <w:t>Станом на 1 січня 202</w:t>
      </w:r>
      <w:r w:rsidR="006F2D89" w:rsidRPr="0054251F">
        <w:t>5</w:t>
      </w:r>
      <w:r w:rsidRPr="0054251F">
        <w:t xml:space="preserve"> року громада налічувала </w:t>
      </w:r>
      <w:r w:rsidRPr="0054251F">
        <w:rPr>
          <w:color w:val="C0504D" w:themeColor="accent2"/>
        </w:rPr>
        <w:t xml:space="preserve">10701 </w:t>
      </w:r>
      <w:r w:rsidRPr="0054251F">
        <w:t>мешканців, серед яких</w:t>
      </w:r>
      <w:r w:rsidRPr="0054251F">
        <w:rPr>
          <w:lang w:val="ru-RU"/>
        </w:rPr>
        <w:t xml:space="preserve"> ч</w:t>
      </w:r>
      <w:proofErr w:type="spellStart"/>
      <w:r w:rsidRPr="0054251F">
        <w:t>астка</w:t>
      </w:r>
      <w:proofErr w:type="spellEnd"/>
      <w:r w:rsidRPr="0054251F">
        <w:t xml:space="preserve"> населення трудового віку складає </w:t>
      </w:r>
      <w:r w:rsidR="009B4C81" w:rsidRPr="0054251F">
        <w:t>67</w:t>
      </w:r>
      <w:r w:rsidR="00FA2F6E" w:rsidRPr="0054251F">
        <w:t>% (7</w:t>
      </w:r>
      <w:r w:rsidR="009B4C81" w:rsidRPr="0054251F">
        <w:t>169</w:t>
      </w:r>
      <w:r w:rsidRPr="0054251F">
        <w:t xml:space="preserve"> осіб)</w:t>
      </w:r>
      <w:r w:rsidRPr="0054251F">
        <w:rPr>
          <w:lang w:val="ru-RU"/>
        </w:rPr>
        <w:t>.</w:t>
      </w:r>
      <w:r w:rsidRPr="0054251F">
        <w:rPr>
          <w:lang w:val="ru-RU" w:eastAsia="ru-RU"/>
        </w:rPr>
        <w:t xml:space="preserve"> </w:t>
      </w:r>
      <w:r w:rsidR="00932D6C" w:rsidRPr="0054251F">
        <w:t>Координація розвитку та ефективного функціонування ринку праці є відносно новим завданням для селищної влади. Аналіз трудових ресурсів у громаді показ</w:t>
      </w:r>
      <w:r w:rsidRPr="0054251F">
        <w:t xml:space="preserve">ав, що в основному місцеве </w:t>
      </w:r>
      <w:r w:rsidR="00932D6C" w:rsidRPr="0054251F">
        <w:t xml:space="preserve"> населення заді</w:t>
      </w:r>
      <w:r w:rsidRPr="0054251F">
        <w:t xml:space="preserve">яне у роботі на </w:t>
      </w:r>
      <w:r w:rsidR="00932D6C" w:rsidRPr="0054251F">
        <w:t xml:space="preserve"> підприємст</w:t>
      </w:r>
      <w:r w:rsidRPr="0054251F">
        <w:t>в</w:t>
      </w:r>
      <w:r w:rsidR="00932D6C" w:rsidRPr="0054251F">
        <w:t xml:space="preserve">і </w:t>
      </w:r>
      <w:r w:rsidRPr="0054251F">
        <w:t xml:space="preserve"> </w:t>
      </w:r>
      <w:r w:rsidR="00932D6C" w:rsidRPr="0054251F">
        <w:t>ДП «Схід ГЗК» Смолінська шахта</w:t>
      </w:r>
      <w:r w:rsidRPr="0054251F">
        <w:t xml:space="preserve"> 40%  кількості мешканців , які працюють у громаді. </w:t>
      </w:r>
      <w:r w:rsidR="00932D6C" w:rsidRPr="0054251F">
        <w:t xml:space="preserve"> Кількість мешканців, які зареєстровані </w:t>
      </w:r>
      <w:r w:rsidRPr="0054251F">
        <w:t xml:space="preserve">та працюють в межах громади – </w:t>
      </w:r>
      <w:r w:rsidRPr="0054251F">
        <w:rPr>
          <w:color w:val="C0504D" w:themeColor="accent2"/>
        </w:rPr>
        <w:t>281</w:t>
      </w:r>
      <w:r w:rsidR="00932D6C" w:rsidRPr="0054251F">
        <w:rPr>
          <w:color w:val="C0504D" w:themeColor="accent2"/>
        </w:rPr>
        <w:t xml:space="preserve">0 </w:t>
      </w:r>
      <w:r w:rsidR="00932D6C" w:rsidRPr="0054251F">
        <w:t xml:space="preserve">осіб, з них у сільському господарстві – </w:t>
      </w:r>
      <w:r w:rsidR="00932D6C" w:rsidRPr="0054251F">
        <w:rPr>
          <w:color w:val="C0504D" w:themeColor="accent2"/>
        </w:rPr>
        <w:t>73 осіб</w:t>
      </w:r>
      <w:r w:rsidR="00932D6C" w:rsidRPr="0054251F">
        <w:t>, приватному секторі</w:t>
      </w:r>
      <w:r w:rsidR="00DF03E7" w:rsidRPr="0054251F">
        <w:t xml:space="preserve"> – 258, освіті та культурі – </w:t>
      </w:r>
      <w:r w:rsidR="00DF03E7" w:rsidRPr="0054251F">
        <w:rPr>
          <w:color w:val="C0504D" w:themeColor="accent2"/>
        </w:rPr>
        <w:t>438,25</w:t>
      </w:r>
      <w:r w:rsidR="00932D6C" w:rsidRPr="0054251F">
        <w:t>, охорони здоров’я та надання соціальної допомоги – 133, транспорт та зв’язо</w:t>
      </w:r>
      <w:r w:rsidR="00FA2F6E" w:rsidRPr="0054251F">
        <w:t>к-12, державна служба (ОМС) – 63,25</w:t>
      </w:r>
      <w:r w:rsidR="00932D6C" w:rsidRPr="0054251F">
        <w:t xml:space="preserve"> осіб, приватні підпр</w:t>
      </w:r>
      <w:r w:rsidRPr="0054251F">
        <w:t xml:space="preserve">иємці – </w:t>
      </w:r>
      <w:r w:rsidRPr="0054251F">
        <w:rPr>
          <w:color w:val="C0504D" w:themeColor="accent2"/>
        </w:rPr>
        <w:t>185 осіб</w:t>
      </w:r>
    </w:p>
    <w:tbl>
      <w:tblPr>
        <w:tblStyle w:val="a8"/>
        <w:tblpPr w:leftFromText="180" w:rightFromText="180" w:vertAnchor="text" w:tblpY="5845"/>
        <w:tblW w:w="7806" w:type="dxa"/>
        <w:tblLayout w:type="fixed"/>
        <w:tblLook w:val="04A0" w:firstRow="1" w:lastRow="0" w:firstColumn="1" w:lastColumn="0" w:noHBand="0" w:noVBand="1"/>
      </w:tblPr>
      <w:tblGrid>
        <w:gridCol w:w="7806"/>
      </w:tblGrid>
      <w:tr w:rsidR="00E65BCD" w:rsidRPr="00636EAC" w:rsidTr="00E65BCD"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</w:tcPr>
          <w:p w:rsidR="00E65BCD" w:rsidRPr="00D3117C" w:rsidRDefault="00E65BCD" w:rsidP="00E65BCD">
            <w:pPr>
              <w:ind w:right="-108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</w:tr>
    </w:tbl>
    <w:p w:rsidR="0054251F" w:rsidRDefault="00771C15" w:rsidP="0054251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Структура ринку</w:t>
      </w:r>
      <w:r w:rsidR="00FA2F6E"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праці громади по галузях у  202</w:t>
      </w:r>
      <w:r w:rsidR="009B4C81"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FA2F6E"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характерна тим, </w:t>
      </w:r>
      <w:r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значна частка працюючих зайнята в </w:t>
      </w:r>
      <w:r w:rsidR="0088563D"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добувній </w:t>
      </w:r>
      <w:r w:rsidR="00BF036F"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бюджетній сфері</w:t>
      </w:r>
      <w:r w:rsidR="00BF036F"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сільськогосподарському виробництві. В</w:t>
      </w:r>
      <w:r w:rsid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агома частина </w:t>
      </w:r>
      <w:r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податків </w:t>
      </w:r>
      <w:r w:rsidR="00BF036F"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саме </w:t>
      </w:r>
      <w:r w:rsid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надходить </w:t>
      </w:r>
      <w:r w:rsidRPr="009B4C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коштів на виплату заробітної плати з місцевого та</w:t>
      </w:r>
      <w:r w:rsid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державного бюджетів. Питома вага працівників зайнятих в бюджетній</w:t>
      </w:r>
      <w:r w:rsidR="005425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сфері(освіта, ох</w:t>
      </w:r>
      <w:r w:rsidR="00FA2F6E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орона здоров’я, культура) </w:t>
      </w:r>
      <w:r w:rsidR="00FA2F6E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uk-UA" w:eastAsia="ru-RU"/>
        </w:rPr>
        <w:t>– 8,8%, у сільському господарстві –</w:t>
      </w:r>
      <w:r w:rsidR="00FA2F6E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uk-UA" w:eastAsia="ru-RU"/>
        </w:rPr>
        <w:br/>
      </w:r>
      <w:r w:rsidR="00FA2F6E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,2%, в торгівлі – 11,3%, підприємницькою діяльністю зайнято – 14,1%, в</w:t>
      </w:r>
      <w:r w:rsid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промисловості 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FA2F6E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A2F6E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0%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Крім того</w:t>
      </w:r>
      <w:r w:rsidR="0066060F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63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 </w:t>
      </w:r>
      <w:r w:rsidR="00FA2F6E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сімей 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обробляють самостійно свої земельні паї </w:t>
      </w:r>
      <w:r w:rsid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одноосібники </w:t>
      </w:r>
      <w:r w:rsidR="004939A6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вирощують на 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продаж зернові, технічні к</w:t>
      </w:r>
      <w:r w:rsidR="004939A6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ультури, фрукти, ягоди та овочі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4939A6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="004939A6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одержу</w:t>
      </w:r>
      <w:proofErr w:type="gramEnd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</w:t>
      </w:r>
      <w:proofErr w:type="spellStart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підсобного</w:t>
      </w:r>
      <w:proofErr w:type="spellEnd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</w:t>
      </w:r>
      <w:r w:rsidR="004939A6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арства</w:t>
      </w:r>
      <w:proofErr w:type="spellEnd"/>
      <w:r w:rsidR="004939A6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 w:rsidR="004939A6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вирощують</w:t>
      </w:r>
      <w:proofErr w:type="spellEnd"/>
      <w:r w:rsidR="004939A6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ВРХ, </w:t>
      </w:r>
      <w:proofErr w:type="spellStart"/>
      <w:r w:rsidR="004939A6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птицю</w:t>
      </w:r>
      <w:proofErr w:type="spellEnd"/>
      <w:r w:rsidR="004939A6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кролів</w:t>
      </w:r>
      <w:proofErr w:type="spellEnd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городину</w:t>
      </w:r>
      <w:proofErr w:type="spellEnd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т.д., а </w:t>
      </w:r>
      <w:proofErr w:type="spellStart"/>
      <w:r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="006F2D89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2D89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орендну</w:t>
      </w:r>
      <w:proofErr w:type="spellEnd"/>
      <w:r w:rsidR="006F2D89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</w:t>
      </w:r>
      <w:proofErr w:type="spellStart"/>
      <w:r w:rsidR="006F2D89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="006F2D89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2D89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="006F2D89" w:rsidRPr="000C4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5BCD" w:rsidRPr="000C435A" w:rsidRDefault="000C435A" w:rsidP="0054251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784D13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громаді постійно проводиться робот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з нормативної грошової оцінки земель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населених пунктів, яку заст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осовують для визначення розміру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земельного податку,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державного мита при міні, спадкув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анні та даруванні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земельних ділянок, орендної плати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земельні ділянки державної та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комунальної власності, втрат сільськогосп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одарського і лісогосподарського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виробництва.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784D13" w:rsidRPr="00FA2F6E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val="uk-UA" w:eastAsia="ru-RU"/>
        </w:rPr>
        <w:t xml:space="preserve">     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середньостроковій перспективі 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пріоритетним має бути створення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передумов для сталого економічного розвит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 громади на основі збереження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конкурентоспроможно</w:t>
      </w:r>
      <w:r w:rsidR="00CE5689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сті промислового комплексу селища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формування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сприятливого інвестиційного іміджу, 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розширення малого та середнього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бізнесу, підтримка місцевих товаровиробник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ів, розвиток трудових ресурсів,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поступове нарощування підприємств</w:t>
      </w:r>
      <w:r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ами громади обсягів виробництва 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продукції, підвищення її конкурентоспроможності і реалізації на ринках</w:t>
      </w:r>
      <w:r w:rsidR="00771C15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України та за її межами, пошук нових перспекти</w:t>
      </w:r>
      <w:r w:rsidR="00E65BCD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вних ринків збуту та</w:t>
      </w:r>
      <w:r w:rsidR="00E65BCD" w:rsidRPr="000C43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спожив</w:t>
      </w:r>
    </w:p>
    <w:p w:rsidR="00067FC5" w:rsidRPr="00E65BCD" w:rsidRDefault="00067FC5" w:rsidP="0054251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val="uk-UA" w:eastAsia="ru-RU"/>
        </w:rPr>
      </w:pPr>
      <w:r w:rsidRPr="00AA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ІІІ. </w:t>
      </w:r>
      <w:proofErr w:type="spellStart"/>
      <w:r w:rsidRPr="00AA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Загальні</w:t>
      </w:r>
      <w:proofErr w:type="spellEnd"/>
      <w:r w:rsidRPr="00AA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показники</w:t>
      </w:r>
      <w:proofErr w:type="spellEnd"/>
      <w:r w:rsidRPr="00AA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бюджет</w:t>
      </w:r>
    </w:p>
    <w:p w:rsidR="00067FC5" w:rsidRPr="00AA700D" w:rsidRDefault="006735AD" w:rsidP="0054251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A700D">
        <w:rPr>
          <w:rFonts w:ascii="Times New Roman" w:hAnsi="Times New Roman" w:cs="Times New Roman"/>
          <w:sz w:val="24"/>
          <w:szCs w:val="24"/>
        </w:rPr>
        <w:t xml:space="preserve">Прогноз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бюджету на 202</w:t>
      </w:r>
      <w:r w:rsidR="00AA700D" w:rsidRPr="00AA700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A700D">
        <w:rPr>
          <w:rFonts w:ascii="Times New Roman" w:hAnsi="Times New Roman" w:cs="Times New Roman"/>
          <w:sz w:val="24"/>
          <w:szCs w:val="24"/>
        </w:rPr>
        <w:t xml:space="preserve"> – 202</w:t>
      </w:r>
      <w:r w:rsidR="00AA700D" w:rsidRPr="00AA700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A700D">
        <w:rPr>
          <w:rFonts w:ascii="Times New Roman" w:hAnsi="Times New Roman" w:cs="Times New Roman"/>
          <w:sz w:val="24"/>
          <w:szCs w:val="24"/>
        </w:rPr>
        <w:t xml:space="preserve"> роки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визначений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AA700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A700D">
        <w:rPr>
          <w:rFonts w:ascii="Times New Roman" w:hAnsi="Times New Roman" w:cs="Times New Roman"/>
          <w:sz w:val="24"/>
          <w:szCs w:val="24"/>
        </w:rPr>
        <w:t>ідставі</w:t>
      </w:r>
      <w:proofErr w:type="spellEnd"/>
      <w:r w:rsidR="00E05139"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прогнозних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макропоказників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>,</w:t>
      </w:r>
      <w:r w:rsidR="00E05139"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чинних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r w:rsidR="00E65B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700D">
        <w:rPr>
          <w:rFonts w:ascii="Times New Roman" w:hAnsi="Times New Roman" w:cs="Times New Roman"/>
          <w:sz w:val="24"/>
          <w:szCs w:val="24"/>
        </w:rPr>
        <w:t xml:space="preserve">норм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митн</w:t>
      </w:r>
      <w:r w:rsidR="00AC3634" w:rsidRPr="00AA700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AC3634" w:rsidRPr="00AA700D">
        <w:rPr>
          <w:rFonts w:ascii="Times New Roman" w:hAnsi="Times New Roman" w:cs="Times New Roman"/>
          <w:sz w:val="24"/>
          <w:szCs w:val="24"/>
        </w:rPr>
        <w:t xml:space="preserve"> та бюджетного законодавства</w:t>
      </w:r>
      <w:r w:rsidR="0054251F">
        <w:rPr>
          <w:rFonts w:ascii="Times New Roman" w:hAnsi="Times New Roman" w:cs="Times New Roman"/>
          <w:sz w:val="24"/>
          <w:szCs w:val="24"/>
          <w:lang w:val="uk-UA"/>
        </w:rPr>
        <w:t xml:space="preserve">, Програми </w:t>
      </w:r>
      <w:r w:rsidR="005A2E66"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економічного і </w:t>
      </w:r>
      <w:proofErr w:type="gramStart"/>
      <w:r w:rsidR="005A2E66" w:rsidRPr="00AA700D">
        <w:rPr>
          <w:rFonts w:ascii="Times New Roman" w:hAnsi="Times New Roman" w:cs="Times New Roman"/>
          <w:sz w:val="24"/>
          <w:szCs w:val="24"/>
          <w:lang w:val="uk-UA"/>
        </w:rPr>
        <w:t>соц</w:t>
      </w:r>
      <w:proofErr w:type="gramEnd"/>
      <w:r w:rsidR="005A2E66" w:rsidRPr="00AA700D">
        <w:rPr>
          <w:rFonts w:ascii="Times New Roman" w:hAnsi="Times New Roman" w:cs="Times New Roman"/>
          <w:sz w:val="24"/>
          <w:szCs w:val="24"/>
          <w:lang w:val="uk-UA"/>
        </w:rPr>
        <w:t>іального розвитку Смолінської селищної територіальної</w:t>
      </w:r>
      <w:r w:rsidR="00AC3634"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2E66"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громади </w:t>
      </w:r>
      <w:r w:rsidR="00AA700D" w:rsidRPr="00AA700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3634" w:rsidRPr="00AA700D">
        <w:rPr>
          <w:rFonts w:ascii="Times New Roman" w:hAnsi="Times New Roman" w:cs="Times New Roman"/>
          <w:sz w:val="24"/>
          <w:szCs w:val="24"/>
          <w:lang w:val="uk-UA"/>
        </w:rPr>
        <w:t>розробленої</w:t>
      </w:r>
      <w:r w:rsidR="005A2E66"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Закону України</w:t>
      </w:r>
      <w:r w:rsidR="00AC3634"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2E66" w:rsidRPr="00AA700D">
        <w:rPr>
          <w:rFonts w:ascii="Times New Roman" w:hAnsi="Times New Roman" w:cs="Times New Roman"/>
          <w:sz w:val="24"/>
          <w:szCs w:val="24"/>
          <w:lang w:val="uk-UA"/>
        </w:rPr>
        <w:t>«Про державне прогнозування та розроблення програм економічного і соціального розвитку</w:t>
      </w:r>
      <w:r w:rsidR="00AC3634"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2E66"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України», Закону України «Про добровільне </w:t>
      </w:r>
      <w:r w:rsidR="008E08F0"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об’єднання </w:t>
      </w:r>
      <w:r w:rsidR="005A2E66" w:rsidRPr="00AA700D">
        <w:rPr>
          <w:rFonts w:ascii="Times New Roman" w:hAnsi="Times New Roman" w:cs="Times New Roman"/>
          <w:sz w:val="24"/>
          <w:szCs w:val="24"/>
          <w:lang w:val="uk-UA"/>
        </w:rPr>
        <w:t>територіальних громад».</w:t>
      </w:r>
    </w:p>
    <w:p w:rsidR="00015B7E" w:rsidRPr="00AA700D" w:rsidRDefault="00B37EF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Прогнозні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доходної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селищного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бюджету на 202</w:t>
      </w:r>
      <w:r w:rsidR="00AA700D" w:rsidRPr="00AA700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A700D">
        <w:rPr>
          <w:rFonts w:ascii="Times New Roman" w:hAnsi="Times New Roman" w:cs="Times New Roman"/>
          <w:sz w:val="24"/>
          <w:szCs w:val="24"/>
        </w:rPr>
        <w:t>−202</w:t>
      </w:r>
      <w:r w:rsidR="00AA700D" w:rsidRPr="00AA700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A700D">
        <w:rPr>
          <w:rFonts w:ascii="Times New Roman" w:hAnsi="Times New Roman" w:cs="Times New Roman"/>
          <w:sz w:val="24"/>
          <w:szCs w:val="24"/>
        </w:rPr>
        <w:t xml:space="preserve"> роки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розраховано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чинних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та бюджетного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макроекономічних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AA700D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AA700D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та селища, норм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прогнозу бюджету на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середньострокову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перспективу та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00D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AA70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00D" w:rsidRDefault="00AA700D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00D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впливу,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включені в доходи державного та  </w:t>
      </w:r>
      <w:r w:rsidRPr="00AA700D">
        <w:rPr>
          <w:rFonts w:ascii="Times New Roman" w:hAnsi="Times New Roman" w:cs="Times New Roman"/>
          <w:sz w:val="24"/>
          <w:szCs w:val="24"/>
          <w:lang w:val="uk-UA"/>
        </w:rPr>
        <w:t>місцевих бюджетів на 2026—2028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враховано:</w:t>
      </w:r>
    </w:p>
    <w:p w:rsidR="00E65BCD" w:rsidRDefault="00AA700D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00D">
        <w:rPr>
          <w:rFonts w:ascii="Times New Roman" w:hAnsi="Times New Roman" w:cs="Times New Roman"/>
          <w:sz w:val="24"/>
          <w:szCs w:val="24"/>
          <w:lang w:val="uk-UA"/>
        </w:rPr>
        <w:t>діючі норми бюджетного та податкового законодавства, зокрема: відновлення зарахування до державного бюджету податку на доходи фізичних осіб у розмірі 4 відсотки, що тимчасово спрямовувався до загального фонду бюджетів сільських, селищних, міських територіальних громад, за рахунок відповідного зниження нормативу відрахування такого податку до загального фонду державного бюджету;</w:t>
      </w:r>
      <w:r w:rsidRPr="00AA700D">
        <w:t xml:space="preserve"> </w:t>
      </w:r>
      <w:r w:rsidRPr="00AA700D">
        <w:rPr>
          <w:rFonts w:ascii="Times New Roman" w:hAnsi="Times New Roman" w:cs="Times New Roman"/>
          <w:sz w:val="24"/>
          <w:szCs w:val="24"/>
          <w:lang w:val="uk-UA"/>
        </w:rPr>
        <w:t>збереження розподілу акцизу з паль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ного між державним та місцевими </w:t>
      </w:r>
      <w:r w:rsidRPr="00AA700D">
        <w:rPr>
          <w:rFonts w:ascii="Times New Roman" w:hAnsi="Times New Roman" w:cs="Times New Roman"/>
          <w:sz w:val="24"/>
          <w:szCs w:val="24"/>
          <w:lang w:val="uk-UA"/>
        </w:rPr>
        <w:t>бюджетами, а саме — зарахування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3,44 відсотка такого податку до </w:t>
      </w:r>
      <w:r w:rsidRPr="00AA700D">
        <w:rPr>
          <w:rFonts w:ascii="Times New Roman" w:hAnsi="Times New Roman" w:cs="Times New Roman"/>
          <w:sz w:val="24"/>
          <w:szCs w:val="24"/>
          <w:lang w:val="uk-UA"/>
        </w:rPr>
        <w:t>бюджетів територіальних громад;</w:t>
      </w:r>
    </w:p>
    <w:p w:rsidR="0005283A" w:rsidRDefault="0005283A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83A">
        <w:rPr>
          <w:rFonts w:ascii="Times New Roman" w:hAnsi="Times New Roman" w:cs="Times New Roman"/>
          <w:sz w:val="24"/>
          <w:szCs w:val="24"/>
          <w:lang w:val="uk-UA"/>
        </w:rPr>
        <w:t>Відповідно до статті 6 Закону Україн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“Про державні соціальні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стандарти та державні соціальні гаранті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ї” базовим державним соціальним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стандартом є прожитковий мінімум, встано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влений законом, на основі якого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визначаються державні соціальні гаранті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та стандарти у сферах доходів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населення, житлово-комунальн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ого, побутового обслуговування,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соціального захисту, культу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ри, охорони здоров’я та освіти.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У цьому напрямі буде продовжено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опрацювання питання можливості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підвищення державних соціальних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тандартів, зокрема прожиткового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мінімуму до його фактичного розміру,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урахуванням аналізу позитивної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динаміки основних показників економіч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ного розвитку країни, стійкості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системи державних фінансів, а також на</w:t>
      </w:r>
      <w:r>
        <w:rPr>
          <w:rFonts w:ascii="Times New Roman" w:hAnsi="Times New Roman" w:cs="Times New Roman"/>
          <w:sz w:val="24"/>
          <w:szCs w:val="24"/>
          <w:lang w:val="uk-UA"/>
        </w:rPr>
        <w:t>явного фіскального простору для таких кроків</w:t>
      </w:r>
    </w:p>
    <w:p w:rsidR="00E65BCD" w:rsidRDefault="0005283A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83A">
        <w:rPr>
          <w:rFonts w:ascii="Times New Roman" w:hAnsi="Times New Roman" w:cs="Times New Roman"/>
          <w:sz w:val="24"/>
          <w:szCs w:val="24"/>
          <w:lang w:val="uk-UA"/>
        </w:rPr>
        <w:t>У 2026—2028 роках прогнозні розміри прожит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кового мінімуму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розраховано з огляду на основн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макропоказники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економічного і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соціального розвитку України, зокрема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підвищення темпів </w:t>
      </w:r>
      <w:r w:rsidRPr="0005283A">
        <w:rPr>
          <w:rFonts w:ascii="Times New Roman" w:hAnsi="Times New Roman" w:cs="Times New Roman"/>
          <w:sz w:val="24"/>
          <w:szCs w:val="24"/>
          <w:lang w:val="uk-UA"/>
        </w:rPr>
        <w:t>індексу споживчих цін для від</w:t>
      </w:r>
      <w:r>
        <w:rPr>
          <w:rFonts w:ascii="Times New Roman" w:hAnsi="Times New Roman" w:cs="Times New Roman"/>
          <w:sz w:val="24"/>
          <w:szCs w:val="24"/>
          <w:lang w:val="uk-UA"/>
        </w:rPr>
        <w:t>повідного року, що становитиме:</w:t>
      </w:r>
      <w:r w:rsidR="00A869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E65BCD">
        <w:rPr>
          <w:rFonts w:ascii="Times New Roman" w:hAnsi="Times New Roman" w:cs="Times New Roman"/>
          <w:sz w:val="24"/>
          <w:szCs w:val="24"/>
          <w:lang w:val="uk-UA"/>
        </w:rPr>
        <w:t xml:space="preserve"> (грн)</w:t>
      </w:r>
    </w:p>
    <w:p w:rsidR="0079415E" w:rsidRPr="0079415E" w:rsidRDefault="0079415E" w:rsidP="00A86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415E">
        <w:rPr>
          <w:rFonts w:ascii="Times New Roman" w:hAnsi="Times New Roman" w:cs="Times New Roman"/>
          <w:sz w:val="24"/>
          <w:szCs w:val="24"/>
          <w:lang w:val="uk-UA"/>
        </w:rPr>
        <w:t>Прожитковий мінімум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2D0E5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 2026 рік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2027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A869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2028 рік</w:t>
      </w:r>
    </w:p>
    <w:p w:rsidR="0079415E" w:rsidRPr="0079415E" w:rsidRDefault="0079415E" w:rsidP="00A86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415E">
        <w:rPr>
          <w:rFonts w:ascii="Times New Roman" w:hAnsi="Times New Roman" w:cs="Times New Roman"/>
          <w:sz w:val="24"/>
          <w:szCs w:val="24"/>
          <w:lang w:val="uk-UA"/>
        </w:rPr>
        <w:t>На одну особу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171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358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A869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536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</w:p>
    <w:p w:rsidR="0079415E" w:rsidRPr="0079415E" w:rsidRDefault="0079415E" w:rsidP="00A86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Для дітей віком до шести років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D0E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783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6921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A8692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947</w:t>
      </w:r>
      <w:r w:rsidR="00A86921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103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</w:p>
    <w:p w:rsidR="0079415E" w:rsidRPr="0079415E" w:rsidRDefault="0079415E" w:rsidP="00A86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415E">
        <w:rPr>
          <w:rFonts w:ascii="Times New Roman" w:hAnsi="Times New Roman" w:cs="Times New Roman"/>
          <w:sz w:val="24"/>
          <w:szCs w:val="24"/>
          <w:lang w:val="uk-UA"/>
        </w:rPr>
        <w:t>Для дітей віком від шести до</w:t>
      </w:r>
    </w:p>
    <w:p w:rsidR="0079415E" w:rsidRPr="0079415E" w:rsidRDefault="0079415E" w:rsidP="00A86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18 років             </w:t>
      </w:r>
      <w:r w:rsidR="002D0E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471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,00     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676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00          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871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</w:p>
    <w:p w:rsidR="0079415E" w:rsidRPr="0079415E" w:rsidRDefault="0079415E" w:rsidP="00A86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Для працездатних осіб </w:t>
      </w:r>
      <w:r w:rsidR="002D0E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3 288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,00      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482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A869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667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</w:p>
    <w:p w:rsidR="0079415E" w:rsidRPr="0079415E" w:rsidRDefault="0079415E" w:rsidP="00A86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415E">
        <w:rPr>
          <w:rFonts w:ascii="Times New Roman" w:hAnsi="Times New Roman" w:cs="Times New Roman"/>
          <w:sz w:val="24"/>
          <w:szCs w:val="24"/>
          <w:lang w:val="uk-UA"/>
        </w:rPr>
        <w:t>Для осіб, які втратили</w:t>
      </w:r>
    </w:p>
    <w:p w:rsidR="0079415E" w:rsidRPr="0079415E" w:rsidRDefault="002D0E5C" w:rsidP="00A86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9415E">
        <w:rPr>
          <w:rFonts w:ascii="Times New Roman" w:hAnsi="Times New Roman" w:cs="Times New Roman"/>
          <w:sz w:val="24"/>
          <w:szCs w:val="24"/>
          <w:lang w:val="uk-UA"/>
        </w:rPr>
        <w:t xml:space="preserve">рацездатність                                          </w:t>
      </w:r>
      <w:r w:rsidR="0079415E" w:rsidRPr="0079415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9415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9415E" w:rsidRPr="0079415E">
        <w:rPr>
          <w:rFonts w:ascii="Times New Roman" w:hAnsi="Times New Roman" w:cs="Times New Roman"/>
          <w:sz w:val="24"/>
          <w:szCs w:val="24"/>
          <w:lang w:val="uk-UA"/>
        </w:rPr>
        <w:t>564</w:t>
      </w:r>
      <w:r w:rsidR="0079415E">
        <w:rPr>
          <w:rFonts w:ascii="Times New Roman" w:hAnsi="Times New Roman" w:cs="Times New Roman"/>
          <w:sz w:val="24"/>
          <w:szCs w:val="24"/>
          <w:lang w:val="uk-UA"/>
        </w:rPr>
        <w:t xml:space="preserve">,00        </w:t>
      </w:r>
      <w:r w:rsidR="0079415E" w:rsidRPr="0079415E">
        <w:rPr>
          <w:rFonts w:ascii="Times New Roman" w:hAnsi="Times New Roman" w:cs="Times New Roman"/>
          <w:sz w:val="24"/>
          <w:szCs w:val="24"/>
          <w:lang w:val="uk-UA"/>
        </w:rPr>
        <w:t xml:space="preserve"> 2 715 </w:t>
      </w:r>
      <w:r w:rsidR="0079415E">
        <w:rPr>
          <w:rFonts w:ascii="Times New Roman" w:hAnsi="Times New Roman" w:cs="Times New Roman"/>
          <w:sz w:val="24"/>
          <w:szCs w:val="24"/>
          <w:lang w:val="uk-UA"/>
        </w:rPr>
        <w:t xml:space="preserve">,00              </w:t>
      </w:r>
      <w:r w:rsidR="0079415E" w:rsidRPr="0079415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9415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9415E" w:rsidRPr="0079415E">
        <w:rPr>
          <w:rFonts w:ascii="Times New Roman" w:hAnsi="Times New Roman" w:cs="Times New Roman"/>
          <w:sz w:val="24"/>
          <w:szCs w:val="24"/>
          <w:lang w:val="uk-UA"/>
        </w:rPr>
        <w:t>859</w:t>
      </w:r>
      <w:r w:rsidR="0079415E">
        <w:rPr>
          <w:rFonts w:ascii="Times New Roman" w:hAnsi="Times New Roman" w:cs="Times New Roman"/>
          <w:sz w:val="24"/>
          <w:szCs w:val="24"/>
          <w:lang w:val="uk-UA"/>
        </w:rPr>
        <w:t>,00</w:t>
      </w:r>
    </w:p>
    <w:p w:rsidR="0079415E" w:rsidRPr="00AA700D" w:rsidRDefault="0079415E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415E">
        <w:rPr>
          <w:rFonts w:ascii="Times New Roman" w:hAnsi="Times New Roman" w:cs="Times New Roman"/>
          <w:sz w:val="24"/>
          <w:szCs w:val="24"/>
          <w:lang w:val="uk-UA"/>
        </w:rPr>
        <w:t>Рівень забезпечення прожит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кового мінімуму для призначення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допомоги відповідно до Закону України “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державну соціальну допомогу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малозабезпеченим сім’ям”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2026—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2028 роках у відсотковому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співвідношенні до прожиткового мін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імуму для основних соціальних і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демографічних груп населення ста</w:t>
      </w:r>
      <w:r w:rsidR="00A6442D">
        <w:rPr>
          <w:rFonts w:ascii="Times New Roman" w:hAnsi="Times New Roman" w:cs="Times New Roman"/>
          <w:sz w:val="24"/>
          <w:szCs w:val="24"/>
          <w:lang w:val="uk-UA"/>
        </w:rPr>
        <w:t xml:space="preserve">новить: для працездатних осіб 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60 відсотків; для осіб, які втратили працездат</w:t>
      </w:r>
      <w:r w:rsidR="00A6442D">
        <w:rPr>
          <w:rFonts w:ascii="Times New Roman" w:hAnsi="Times New Roman" w:cs="Times New Roman"/>
          <w:sz w:val="24"/>
          <w:szCs w:val="24"/>
          <w:lang w:val="uk-UA"/>
        </w:rPr>
        <w:t xml:space="preserve">ність, та осіб з інвалідністю 100 відсотків; для дітей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145 відс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отків відповідного прожиткового </w:t>
      </w:r>
      <w:r w:rsidRPr="0079415E">
        <w:rPr>
          <w:rFonts w:ascii="Times New Roman" w:hAnsi="Times New Roman" w:cs="Times New Roman"/>
          <w:sz w:val="24"/>
          <w:szCs w:val="24"/>
          <w:lang w:val="uk-UA"/>
        </w:rPr>
        <w:t>мінімуму.</w:t>
      </w:r>
    </w:p>
    <w:p w:rsidR="004877E4" w:rsidRPr="00A86921" w:rsidRDefault="004877E4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A86921">
        <w:rPr>
          <w:rFonts w:ascii="Times New Roman" w:hAnsi="Times New Roman" w:cs="Times New Roman"/>
          <w:sz w:val="24"/>
          <w:szCs w:val="24"/>
          <w:lang w:val="uk-UA"/>
        </w:rPr>
        <w:t>Під час формування видаткової частини на 2026—2028 роки буде враховано такі показники:</w:t>
      </w:r>
    </w:p>
    <w:p w:rsidR="004877E4" w:rsidRPr="004877E4" w:rsidRDefault="004877E4" w:rsidP="004877E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77E4">
        <w:rPr>
          <w:rFonts w:ascii="Times New Roman" w:hAnsi="Times New Roman" w:cs="Times New Roman"/>
          <w:sz w:val="24"/>
          <w:szCs w:val="24"/>
          <w:lang w:val="uk-UA"/>
        </w:rPr>
        <w:t>мінімальної заробітної плати:</w:t>
      </w:r>
    </w:p>
    <w:p w:rsidR="004877E4" w:rsidRPr="004877E4" w:rsidRDefault="004877E4" w:rsidP="004877E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77E4">
        <w:rPr>
          <w:rFonts w:ascii="Times New Roman" w:hAnsi="Times New Roman" w:cs="Times New Roman"/>
          <w:sz w:val="24"/>
          <w:szCs w:val="24"/>
          <w:lang w:val="uk-UA"/>
        </w:rPr>
        <w:t>з 1 січня 2026 р. в розмірі 8 688 гривень;</w:t>
      </w:r>
    </w:p>
    <w:p w:rsidR="004877E4" w:rsidRPr="004877E4" w:rsidRDefault="004877E4" w:rsidP="004877E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77E4">
        <w:rPr>
          <w:rFonts w:ascii="Times New Roman" w:hAnsi="Times New Roman" w:cs="Times New Roman"/>
          <w:sz w:val="24"/>
          <w:szCs w:val="24"/>
          <w:lang w:val="uk-UA"/>
        </w:rPr>
        <w:t>з 1 січня 2027 р. в розмірі 9 374 гривні;</w:t>
      </w:r>
    </w:p>
    <w:p w:rsidR="004877E4" w:rsidRPr="004877E4" w:rsidRDefault="004877E4" w:rsidP="004877E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77E4">
        <w:rPr>
          <w:rFonts w:ascii="Times New Roman" w:hAnsi="Times New Roman" w:cs="Times New Roman"/>
          <w:sz w:val="24"/>
          <w:szCs w:val="24"/>
          <w:lang w:val="uk-UA"/>
        </w:rPr>
        <w:t>з 1 січня 2028 р. в розмірі 10 059 гривень;</w:t>
      </w:r>
    </w:p>
    <w:p w:rsidR="004877E4" w:rsidRPr="004877E4" w:rsidRDefault="004877E4" w:rsidP="004877E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77E4">
        <w:rPr>
          <w:rFonts w:ascii="Times New Roman" w:hAnsi="Times New Roman" w:cs="Times New Roman"/>
          <w:sz w:val="24"/>
          <w:szCs w:val="24"/>
          <w:lang w:val="uk-UA"/>
        </w:rPr>
        <w:t>посадового окладу працівника І тарифного розряду Єдиної тарифної</w:t>
      </w:r>
    </w:p>
    <w:p w:rsidR="004877E4" w:rsidRPr="004877E4" w:rsidRDefault="004877E4" w:rsidP="004877E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77E4">
        <w:rPr>
          <w:rFonts w:ascii="Times New Roman" w:hAnsi="Times New Roman" w:cs="Times New Roman"/>
          <w:sz w:val="24"/>
          <w:szCs w:val="24"/>
          <w:lang w:val="uk-UA"/>
        </w:rPr>
        <w:t>сітки:</w:t>
      </w:r>
    </w:p>
    <w:p w:rsidR="004877E4" w:rsidRPr="004877E4" w:rsidRDefault="004877E4" w:rsidP="004877E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77E4">
        <w:rPr>
          <w:rFonts w:ascii="Times New Roman" w:hAnsi="Times New Roman" w:cs="Times New Roman"/>
          <w:sz w:val="24"/>
          <w:szCs w:val="24"/>
          <w:lang w:val="uk-UA"/>
        </w:rPr>
        <w:t>з 1 січня 2026 р. в розмірі 3 470 гривень;</w:t>
      </w:r>
    </w:p>
    <w:p w:rsidR="004877E4" w:rsidRPr="004877E4" w:rsidRDefault="004877E4" w:rsidP="004877E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77E4">
        <w:rPr>
          <w:rFonts w:ascii="Times New Roman" w:hAnsi="Times New Roman" w:cs="Times New Roman"/>
          <w:sz w:val="24"/>
          <w:szCs w:val="24"/>
          <w:lang w:val="uk-UA"/>
        </w:rPr>
        <w:t>з 1 січня 2027 р. в розмірі 3 744 гривні;</w:t>
      </w:r>
    </w:p>
    <w:p w:rsidR="004877E4" w:rsidRPr="004877E4" w:rsidRDefault="004877E4" w:rsidP="004877E4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77E4">
        <w:rPr>
          <w:rFonts w:ascii="Times New Roman" w:hAnsi="Times New Roman" w:cs="Times New Roman"/>
          <w:sz w:val="24"/>
          <w:szCs w:val="24"/>
          <w:lang w:val="uk-UA"/>
        </w:rPr>
        <w:t>з 1 січня 2028 р. в розмірі 4 018 гривень</w:t>
      </w:r>
    </w:p>
    <w:p w:rsidR="00A86921" w:rsidRPr="009051D3" w:rsidRDefault="00015B7E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1D3">
        <w:rPr>
          <w:rFonts w:ascii="Times New Roman" w:hAnsi="Times New Roman" w:cs="Times New Roman"/>
          <w:sz w:val="24"/>
          <w:szCs w:val="24"/>
          <w:lang w:val="uk-UA"/>
        </w:rPr>
        <w:t>Прогноз надходжень з податку на доходи фізичних осіб розраховано відповідно до єдиної ставки (18%) оподаткування доходів фізичних осіб, підвищення мінімальної заробітної плати (в середньому протягом 202</w:t>
      </w:r>
      <w:r w:rsidR="00AA700D" w:rsidRPr="009051D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AA700D" w:rsidRPr="009051D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рр.  від </w:t>
      </w:r>
      <w:r w:rsidR="00A86921" w:rsidRPr="009051D3">
        <w:rPr>
          <w:rFonts w:ascii="Times New Roman" w:hAnsi="Times New Roman" w:cs="Times New Roman"/>
          <w:sz w:val="24"/>
          <w:szCs w:val="24"/>
          <w:lang w:val="uk-UA"/>
        </w:rPr>
        <w:t>8,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>6 до 1</w:t>
      </w:r>
      <w:r w:rsidR="00A86921" w:rsidRPr="009051D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по відношенню до показників попередніх років) та прожиткового мінімуму, подальшого зростання середньомісячної заробітної плати найманих працівників бюджетної сфери та приватного сектору шляхами збільшення продуктивності праці й за рахунок легалізації виплати заробітної </w:t>
      </w:r>
      <w:r w:rsidR="00A86921" w:rsidRPr="009051D3">
        <w:rPr>
          <w:rFonts w:ascii="Times New Roman" w:hAnsi="Times New Roman" w:cs="Times New Roman"/>
          <w:sz w:val="24"/>
          <w:szCs w:val="24"/>
          <w:lang w:val="uk-UA"/>
        </w:rPr>
        <w:t>плати та скорочення безробіття та інших заходів.</w:t>
      </w:r>
    </w:p>
    <w:p w:rsidR="00015B7E" w:rsidRPr="009051D3" w:rsidRDefault="00015B7E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1D3">
        <w:rPr>
          <w:rFonts w:ascii="Times New Roman" w:hAnsi="Times New Roman" w:cs="Times New Roman"/>
          <w:sz w:val="24"/>
          <w:szCs w:val="24"/>
        </w:rPr>
        <w:t>У 202</w:t>
      </w:r>
      <w:r w:rsidR="00A86921" w:rsidRPr="009051D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051D3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>д</w:t>
      </w:r>
      <w:r w:rsidRPr="009051D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оходи (без урахування міжбюджетних трансфертів</w:t>
      </w:r>
      <w:r w:rsidRPr="009051D3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 xml:space="preserve">) </w:t>
      </w:r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заплановано</w:t>
      </w:r>
      <w:proofErr w:type="spellEnd"/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51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102 749 100,00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51D3">
        <w:rPr>
          <w:rFonts w:ascii="Times New Roman" w:hAnsi="Times New Roman" w:cs="Times New Roman"/>
          <w:sz w:val="24"/>
          <w:szCs w:val="24"/>
        </w:rPr>
        <w:t xml:space="preserve"> грн.,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 становить 1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051D3">
        <w:rPr>
          <w:rFonts w:ascii="Times New Roman" w:hAnsi="Times New Roman" w:cs="Times New Roman"/>
          <w:sz w:val="24"/>
          <w:szCs w:val="24"/>
        </w:rPr>
        <w:t>,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051D3">
        <w:rPr>
          <w:rFonts w:ascii="Times New Roman" w:hAnsi="Times New Roman" w:cs="Times New Roman"/>
          <w:sz w:val="24"/>
          <w:szCs w:val="24"/>
        </w:rPr>
        <w:t>%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до 202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proofErr w:type="gramStart"/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proofErr w:type="gramEnd"/>
      <w:r w:rsidRPr="009051D3">
        <w:rPr>
          <w:rFonts w:ascii="Times New Roman" w:hAnsi="Times New Roman" w:cs="Times New Roman"/>
          <w:sz w:val="24"/>
          <w:szCs w:val="24"/>
        </w:rPr>
        <w:t xml:space="preserve"> на 202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– 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111 908800,00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51D3">
        <w:rPr>
          <w:rFonts w:ascii="Times New Roman" w:hAnsi="Times New Roman" w:cs="Times New Roman"/>
          <w:sz w:val="24"/>
          <w:szCs w:val="24"/>
        </w:rPr>
        <w:t xml:space="preserve"> грн.,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 становить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10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% 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до 2025 року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051D3">
        <w:rPr>
          <w:rFonts w:ascii="Times New Roman" w:hAnsi="Times New Roman" w:cs="Times New Roman"/>
          <w:sz w:val="24"/>
          <w:szCs w:val="24"/>
        </w:rPr>
        <w:t xml:space="preserve"> на 202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– 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113 157 908,00</w:t>
      </w:r>
      <w:r w:rsidRPr="009051D3">
        <w:rPr>
          <w:rFonts w:ascii="Times New Roman" w:hAnsi="Times New Roman" w:cs="Times New Roman"/>
          <w:sz w:val="24"/>
          <w:szCs w:val="24"/>
        </w:rPr>
        <w:t xml:space="preserve"> грн. 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>, або 1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,1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%  до 202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015B7E" w:rsidRPr="009051D3" w:rsidRDefault="00015B7E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1D3">
        <w:rPr>
          <w:rFonts w:ascii="Times New Roman" w:hAnsi="Times New Roman" w:cs="Times New Roman"/>
          <w:sz w:val="24"/>
          <w:szCs w:val="24"/>
          <w:lang w:val="uk-UA"/>
        </w:rPr>
        <w:t>Збільшення надходжень податку з доходів фізичних осіб планується, в основному, за рахунок збільшення мінімальної заробітної плати у 202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роках від 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8 688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,0 грн. до 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>10 059,00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 грн., за рахунок збільшення посадового окладу працівника І тарифного розряду  </w:t>
      </w:r>
      <w:r w:rsidR="009051D3" w:rsidRPr="009051D3">
        <w:rPr>
          <w:rFonts w:ascii="Times New Roman" w:hAnsi="Times New Roman" w:cs="Times New Roman"/>
          <w:sz w:val="24"/>
          <w:szCs w:val="24"/>
          <w:lang w:val="uk-UA"/>
        </w:rPr>
        <w:t xml:space="preserve">Єдиної тарифної сітки:3470,00 грн у 2026 році до 4018 грн у 2028 році , ріст 16,0% </w:t>
      </w:r>
      <w:r w:rsidRPr="009051D3">
        <w:rPr>
          <w:rFonts w:ascii="Times New Roman" w:hAnsi="Times New Roman" w:cs="Times New Roman"/>
          <w:sz w:val="24"/>
          <w:szCs w:val="24"/>
          <w:lang w:val="uk-UA"/>
        </w:rPr>
        <w:t>та відповідним збільшенням середньої заробітної плати.</w:t>
      </w:r>
    </w:p>
    <w:p w:rsidR="00015B7E" w:rsidRDefault="00015B7E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Розрахунок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прогнозної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земельного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плати за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земельні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і комунальної власності на 2022-2024 роки проведено за </w:t>
      </w:r>
      <w:proofErr w:type="spellStart"/>
      <w:proofErr w:type="gramStart"/>
      <w:r w:rsidRPr="009051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051D3">
        <w:rPr>
          <w:rFonts w:ascii="Times New Roman" w:hAnsi="Times New Roman" w:cs="Times New Roman"/>
          <w:sz w:val="24"/>
          <w:szCs w:val="24"/>
        </w:rPr>
        <w:t>ідсумками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фактичних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надходжень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роки,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укладених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051D3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9051D3">
        <w:rPr>
          <w:rFonts w:ascii="Times New Roman" w:hAnsi="Times New Roman" w:cs="Times New Roman"/>
          <w:sz w:val="24"/>
          <w:szCs w:val="24"/>
        </w:rPr>
        <w:t xml:space="preserve"> ставок </w:t>
      </w:r>
      <w:proofErr w:type="spellStart"/>
      <w:r w:rsidRPr="000C538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орендної</w:t>
      </w:r>
      <w:proofErr w:type="spellEnd"/>
      <w:r w:rsidRPr="000C538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плати.</w:t>
      </w: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54251F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332377" w:rsidRDefault="00332377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332377" w:rsidRDefault="00332377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332377" w:rsidRDefault="00332377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332377" w:rsidRPr="0054251F" w:rsidRDefault="00332377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</w:p>
    <w:p w:rsidR="0054251F" w:rsidRDefault="00027E83" w:rsidP="005425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051D3">
        <w:rPr>
          <w:rFonts w:ascii="Times New Roman" w:hAnsi="Times New Roman" w:cs="Times New Roman"/>
          <w:b/>
          <w:sz w:val="24"/>
          <w:szCs w:val="24"/>
        </w:rPr>
        <w:lastRenderedPageBreak/>
        <w:t>Загальні</w:t>
      </w:r>
      <w:proofErr w:type="spellEnd"/>
      <w:r w:rsidRPr="00905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b/>
          <w:sz w:val="24"/>
          <w:szCs w:val="24"/>
        </w:rPr>
        <w:t>показники</w:t>
      </w:r>
      <w:proofErr w:type="spellEnd"/>
      <w:r w:rsidRPr="00905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1D3">
        <w:rPr>
          <w:rFonts w:ascii="Times New Roman" w:hAnsi="Times New Roman" w:cs="Times New Roman"/>
          <w:b/>
          <w:sz w:val="24"/>
          <w:szCs w:val="24"/>
        </w:rPr>
        <w:t>доході</w:t>
      </w:r>
      <w:proofErr w:type="gramStart"/>
      <w:r w:rsidRPr="009051D3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  <w:r w:rsidRPr="00905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051D3">
        <w:rPr>
          <w:rFonts w:ascii="Times New Roman" w:hAnsi="Times New Roman" w:cs="Times New Roman"/>
          <w:b/>
          <w:sz w:val="24"/>
          <w:szCs w:val="24"/>
        </w:rPr>
        <w:t>бюджету</w:t>
      </w:r>
      <w:proofErr w:type="gramEnd"/>
      <w:r w:rsidRPr="0090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Смолінської </w:t>
      </w:r>
      <w:r w:rsidR="00B7310F">
        <w:rPr>
          <w:rFonts w:ascii="Times New Roman" w:hAnsi="Times New Roman" w:cs="Times New Roman"/>
          <w:b/>
          <w:sz w:val="24"/>
          <w:szCs w:val="24"/>
        </w:rPr>
        <w:t xml:space="preserve"> територіальної громад</w:t>
      </w:r>
      <w:r w:rsidR="00417076">
        <w:rPr>
          <w:rFonts w:ascii="Times New Roman" w:hAnsi="Times New Roman" w:cs="Times New Roman"/>
          <w:b/>
          <w:sz w:val="24"/>
          <w:szCs w:val="24"/>
        </w:rPr>
        <w:t>у</w:t>
      </w:r>
    </w:p>
    <w:p w:rsidR="002A599C" w:rsidRPr="00417076" w:rsidRDefault="00027E83" w:rsidP="005425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51D3">
        <w:rPr>
          <w:rFonts w:ascii="Times New Roman" w:hAnsi="Times New Roman" w:cs="Times New Roman"/>
          <w:b/>
          <w:sz w:val="24"/>
          <w:szCs w:val="24"/>
        </w:rPr>
        <w:t>202</w:t>
      </w:r>
      <w:r w:rsidR="009051D3" w:rsidRPr="009051D3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9051D3">
        <w:rPr>
          <w:rFonts w:ascii="Times New Roman" w:hAnsi="Times New Roman" w:cs="Times New Roman"/>
          <w:b/>
          <w:sz w:val="24"/>
          <w:szCs w:val="24"/>
        </w:rPr>
        <w:t>-202</w:t>
      </w:r>
      <w:r w:rsidR="009051D3" w:rsidRPr="009051D3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905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051D3">
        <w:rPr>
          <w:rFonts w:ascii="Times New Roman" w:hAnsi="Times New Roman" w:cs="Times New Roman"/>
          <w:b/>
          <w:sz w:val="24"/>
          <w:szCs w:val="24"/>
        </w:rPr>
        <w:t>роках</w:t>
      </w:r>
      <w:proofErr w:type="gramEnd"/>
      <w:r w:rsidRPr="0090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10F" w:rsidRPr="00D55C07">
        <w:rPr>
          <w:noProof/>
          <w:lang w:eastAsia="ru-RU"/>
        </w:rPr>
        <w:drawing>
          <wp:inline distT="0" distB="0" distL="0" distR="0" wp14:anchorId="165682A9" wp14:editId="0FDF3FC0">
            <wp:extent cx="6030595" cy="81366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1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99C" w:rsidRPr="00D55C07" w:rsidRDefault="002A599C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D55C0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55C07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до бюджету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передбачається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легалізації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плати та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розрахунків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з бюджетом по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на доходи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плати не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законодавчо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по платежах до бюджету й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сплатою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поточних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нара</w:t>
      </w:r>
      <w:r w:rsidR="0054251F">
        <w:rPr>
          <w:rFonts w:ascii="Times New Roman" w:hAnsi="Times New Roman" w:cs="Times New Roman"/>
          <w:sz w:val="24"/>
          <w:szCs w:val="24"/>
        </w:rPr>
        <w:t>хувань</w:t>
      </w:r>
      <w:proofErr w:type="spellEnd"/>
      <w:r w:rsidR="0054251F">
        <w:rPr>
          <w:rFonts w:ascii="Times New Roman" w:hAnsi="Times New Roman" w:cs="Times New Roman"/>
          <w:sz w:val="24"/>
          <w:szCs w:val="24"/>
        </w:rPr>
        <w:t>.</w:t>
      </w:r>
    </w:p>
    <w:p w:rsidR="001B5E99" w:rsidRPr="001B5E99" w:rsidRDefault="001B5E99" w:rsidP="000C5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576F1" w:rsidRPr="00D55C07" w:rsidRDefault="00E576F1" w:rsidP="005425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5C07">
        <w:rPr>
          <w:rFonts w:ascii="Times New Roman" w:hAnsi="Times New Roman" w:cs="Times New Roman"/>
          <w:b/>
          <w:sz w:val="24"/>
          <w:szCs w:val="24"/>
          <w:lang w:val="uk-UA"/>
        </w:rPr>
        <w:t>Показники видатків бюджету та надання кредитів з бюджету</w:t>
      </w:r>
    </w:p>
    <w:p w:rsidR="00E576F1" w:rsidRPr="00D55C07" w:rsidRDefault="00E576F1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C07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Прогнозні показники видатків та кредитування бюджету Смолінської  селищної територіальної громади на 202</w:t>
      </w:r>
      <w:r w:rsidR="003C7149" w:rsidRPr="00D55C0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55C07">
        <w:rPr>
          <w:rFonts w:ascii="Times New Roman" w:hAnsi="Times New Roman" w:cs="Times New Roman"/>
          <w:sz w:val="24"/>
          <w:szCs w:val="24"/>
          <w:lang w:val="uk-UA"/>
        </w:rPr>
        <w:t>–202</w:t>
      </w:r>
      <w:r w:rsidR="003C7149" w:rsidRPr="00D55C0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D55C07">
        <w:rPr>
          <w:rFonts w:ascii="Times New Roman" w:hAnsi="Times New Roman" w:cs="Times New Roman"/>
          <w:sz w:val="24"/>
          <w:szCs w:val="24"/>
          <w:lang w:val="uk-UA"/>
        </w:rPr>
        <w:t xml:space="preserve"> роки розроблено відповідно до положень бюджетно-галузевого законодавства, основних прогнозних </w:t>
      </w:r>
      <w:proofErr w:type="spellStart"/>
      <w:r w:rsidRPr="00D55C07">
        <w:rPr>
          <w:rFonts w:ascii="Times New Roman" w:hAnsi="Times New Roman" w:cs="Times New Roman"/>
          <w:sz w:val="24"/>
          <w:szCs w:val="24"/>
          <w:lang w:val="uk-UA"/>
        </w:rPr>
        <w:t>макропоказників</w:t>
      </w:r>
      <w:proofErr w:type="spellEnd"/>
      <w:r w:rsidRPr="00D55C07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економічного і соціального розвитку країни та громади, пріоритетів бюджетної політики, передбачених Бюджетною декларацією, розрахованих прогнозних показників дохідної частини бюджету. </w:t>
      </w:r>
    </w:p>
    <w:p w:rsidR="00E7715E" w:rsidRPr="00D55C07" w:rsidRDefault="00E576F1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C07">
        <w:rPr>
          <w:rFonts w:ascii="Times New Roman" w:hAnsi="Times New Roman" w:cs="Times New Roman"/>
          <w:sz w:val="24"/>
          <w:szCs w:val="24"/>
          <w:lang w:val="uk-UA"/>
        </w:rPr>
        <w:t xml:space="preserve">Ключовим завданням бюджетної політики в селищній раді залишатиметься забезпечення макроекономічної стабільності, стійкості та збалансованості бюджетної системи, підвищення якості надання суспільних послуг. </w:t>
      </w:r>
      <w:r w:rsidRPr="00D55C0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прогнозні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розмі</w:t>
      </w:r>
      <w:proofErr w:type="gramStart"/>
      <w:r w:rsidRPr="00D55C0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55C07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гарантій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мінімальної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плати,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прожиткового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мінімуму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). В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прогнозних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видаткової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селищного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бюджету на 202</w:t>
      </w:r>
      <w:r w:rsidR="00D55C07" w:rsidRPr="00D55C0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55C07">
        <w:rPr>
          <w:rFonts w:ascii="Times New Roman" w:hAnsi="Times New Roman" w:cs="Times New Roman"/>
          <w:sz w:val="24"/>
          <w:szCs w:val="24"/>
        </w:rPr>
        <w:t>−202</w:t>
      </w:r>
      <w:r w:rsidR="00D55C07" w:rsidRPr="00D55C0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D55C07">
        <w:rPr>
          <w:rFonts w:ascii="Times New Roman" w:hAnsi="Times New Roman" w:cs="Times New Roman"/>
          <w:sz w:val="24"/>
          <w:szCs w:val="24"/>
        </w:rPr>
        <w:t xml:space="preserve"> роки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враховано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77 Бюджетного кодексу України</w:t>
      </w:r>
      <w:proofErr w:type="gramStart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r w:rsidR="00821D8B" w:rsidRPr="00D55C07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gramEnd"/>
      <w:r w:rsidR="00821D8B" w:rsidRPr="00D55C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першочерговому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порядку потреби в коштах на оплату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умов оплати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мінімальної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плати, на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розрахунків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водовідведення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енергоносії</w:t>
      </w:r>
      <w:proofErr w:type="gramStart"/>
      <w:r w:rsidRPr="00D55C0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5C0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споживаються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>.</w:t>
      </w:r>
      <w:r w:rsidR="00821D8B" w:rsidRPr="00D55C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Враховані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стабільної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5C07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D55C07">
        <w:rPr>
          <w:rFonts w:ascii="Times New Roman" w:hAnsi="Times New Roman" w:cs="Times New Roman"/>
          <w:sz w:val="24"/>
          <w:szCs w:val="24"/>
        </w:rPr>
        <w:t>іально-культурної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гарантій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для мало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захищених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належному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5E" w:rsidRPr="00D55C07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="00E7715E"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5E" w:rsidRPr="00D55C07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="00E7715E"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5E" w:rsidRPr="00D55C0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селищних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цільових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комплексних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>.</w:t>
      </w:r>
      <w:r w:rsidR="00993E7D" w:rsidRPr="00D55C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5C0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визначальним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стане </w:t>
      </w:r>
      <w:proofErr w:type="spellStart"/>
      <w:proofErr w:type="gramStart"/>
      <w:r w:rsidRPr="00D55C0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55C07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D55C0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55C07">
        <w:rPr>
          <w:rFonts w:ascii="Times New Roman" w:hAnsi="Times New Roman" w:cs="Times New Roman"/>
          <w:sz w:val="24"/>
          <w:szCs w:val="24"/>
        </w:rPr>
        <w:t xml:space="preserve"> Основною метою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бюджету є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життєвого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громади. Для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кожній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Головними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за видами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  <w:szCs w:val="24"/>
        </w:rPr>
        <w:t>передбачається</w:t>
      </w:r>
      <w:proofErr w:type="spellEnd"/>
      <w:r w:rsidRPr="00D55C07">
        <w:rPr>
          <w:rFonts w:ascii="Times New Roman" w:hAnsi="Times New Roman" w:cs="Times New Roman"/>
          <w:sz w:val="24"/>
          <w:szCs w:val="24"/>
        </w:rPr>
        <w:t>:</w:t>
      </w:r>
    </w:p>
    <w:p w:rsidR="00E54FD2" w:rsidRPr="00E54FD2" w:rsidRDefault="00E54FD2" w:rsidP="00742678">
      <w:pPr>
        <w:spacing w:line="240" w:lineRule="auto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E54FD2">
        <w:rPr>
          <w:noProof/>
          <w:lang w:eastAsia="ru-RU"/>
        </w:rPr>
        <w:drawing>
          <wp:inline distT="0" distB="0" distL="0" distR="0" wp14:anchorId="0E55967D" wp14:editId="047AFA60">
            <wp:extent cx="6229457" cy="37808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872" cy="378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819" w:rsidRDefault="00732D53" w:rsidP="00742678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lang w:val="uk-UA"/>
        </w:rPr>
      </w:pPr>
      <w:r w:rsidRPr="001B5E99">
        <w:rPr>
          <w:rFonts w:ascii="Times New Roman" w:hAnsi="Times New Roman" w:cs="Times New Roman"/>
          <w:color w:val="943634" w:themeColor="accent2" w:themeShade="BF"/>
          <w:lang w:val="uk-UA"/>
        </w:rPr>
        <w:t xml:space="preserve">     </w:t>
      </w:r>
    </w:p>
    <w:p w:rsidR="00732D53" w:rsidRPr="001B5E99" w:rsidRDefault="00732D53" w:rsidP="00742678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lang w:val="uk-UA"/>
        </w:rPr>
      </w:pPr>
    </w:p>
    <w:p w:rsidR="00732D53" w:rsidRPr="00D55C07" w:rsidRDefault="00732D53" w:rsidP="00542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D55C07">
        <w:rPr>
          <w:rFonts w:ascii="Times New Roman" w:hAnsi="Times New Roman" w:cs="Times New Roman"/>
          <w:b/>
          <w:sz w:val="24"/>
          <w:lang w:val="uk-UA"/>
        </w:rPr>
        <w:t>Інші положення та показники прогнозу бюджету</w:t>
      </w:r>
    </w:p>
    <w:p w:rsidR="00732D53" w:rsidRPr="00D55C07" w:rsidRDefault="00732D53" w:rsidP="0054251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lang w:val="uk-UA"/>
        </w:rPr>
      </w:pPr>
      <w:r w:rsidRPr="00D55C07">
        <w:rPr>
          <w:rFonts w:ascii="Times New Roman" w:hAnsi="Times New Roman" w:cs="Times New Roman"/>
          <w:sz w:val="24"/>
          <w:lang w:val="uk-UA"/>
        </w:rPr>
        <w:t>Конкретні показники обсягу доходів та видатків, фінансування на 202</w:t>
      </w:r>
      <w:r w:rsidR="00D55C07" w:rsidRPr="00D55C07">
        <w:rPr>
          <w:rFonts w:ascii="Times New Roman" w:hAnsi="Times New Roman" w:cs="Times New Roman"/>
          <w:sz w:val="24"/>
          <w:lang w:val="uk-UA"/>
        </w:rPr>
        <w:t>6</w:t>
      </w:r>
      <w:r w:rsidRPr="00D55C07">
        <w:rPr>
          <w:rFonts w:ascii="Times New Roman" w:hAnsi="Times New Roman" w:cs="Times New Roman"/>
          <w:sz w:val="24"/>
          <w:lang w:val="uk-UA"/>
        </w:rPr>
        <w:t>−202</w:t>
      </w:r>
      <w:r w:rsidR="00D55C07" w:rsidRPr="00D55C07">
        <w:rPr>
          <w:rFonts w:ascii="Times New Roman" w:hAnsi="Times New Roman" w:cs="Times New Roman"/>
          <w:sz w:val="24"/>
          <w:lang w:val="uk-UA"/>
        </w:rPr>
        <w:t>8</w:t>
      </w:r>
      <w:r w:rsidRPr="00D55C07">
        <w:rPr>
          <w:rFonts w:ascii="Times New Roman" w:hAnsi="Times New Roman" w:cs="Times New Roman"/>
          <w:sz w:val="24"/>
          <w:lang w:val="uk-UA"/>
        </w:rPr>
        <w:t xml:space="preserve"> роки, визначених цим рішенням, можуть уточнюватись залежно від зміни реальних можливостей бюджету на відповідні роки. </w:t>
      </w:r>
      <w:proofErr w:type="spellStart"/>
      <w:r w:rsidRPr="00D55C07">
        <w:rPr>
          <w:rFonts w:ascii="Times New Roman" w:hAnsi="Times New Roman" w:cs="Times New Roman"/>
          <w:sz w:val="24"/>
        </w:rPr>
        <w:t>Додатки</w:t>
      </w:r>
      <w:proofErr w:type="spellEnd"/>
      <w:r w:rsidRPr="00D55C0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55C07">
        <w:rPr>
          <w:rFonts w:ascii="Times New Roman" w:hAnsi="Times New Roman" w:cs="Times New Roman"/>
          <w:sz w:val="24"/>
        </w:rPr>
        <w:t>до</w:t>
      </w:r>
      <w:proofErr w:type="gramEnd"/>
      <w:r w:rsidRPr="00D55C07">
        <w:rPr>
          <w:rFonts w:ascii="Times New Roman" w:hAnsi="Times New Roman" w:cs="Times New Roman"/>
          <w:sz w:val="24"/>
        </w:rPr>
        <w:t xml:space="preserve"> прогнозу </w:t>
      </w:r>
      <w:proofErr w:type="spellStart"/>
      <w:r w:rsidRPr="00D55C07">
        <w:rPr>
          <w:rFonts w:ascii="Times New Roman" w:hAnsi="Times New Roman" w:cs="Times New Roman"/>
          <w:sz w:val="24"/>
        </w:rPr>
        <w:t>додаються</w:t>
      </w:r>
      <w:proofErr w:type="spellEnd"/>
      <w:r w:rsidRPr="00D55C07">
        <w:rPr>
          <w:rFonts w:ascii="Times New Roman" w:hAnsi="Times New Roman" w:cs="Times New Roman"/>
          <w:sz w:val="24"/>
        </w:rPr>
        <w:t>: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D55C07">
        <w:rPr>
          <w:rFonts w:ascii="Times New Roman" w:hAnsi="Times New Roman" w:cs="Times New Roman"/>
          <w:sz w:val="24"/>
        </w:rPr>
        <w:t>Додаток</w:t>
      </w:r>
      <w:proofErr w:type="spellEnd"/>
      <w:r w:rsidR="008D4819" w:rsidRPr="00D55C07">
        <w:rPr>
          <w:rFonts w:ascii="Times New Roman" w:hAnsi="Times New Roman" w:cs="Times New Roman"/>
          <w:sz w:val="24"/>
        </w:rPr>
        <w:t xml:space="preserve"> 1 «</w:t>
      </w:r>
      <w:proofErr w:type="spellStart"/>
      <w:r w:rsidR="008D4819" w:rsidRPr="00D55C07">
        <w:rPr>
          <w:rFonts w:ascii="Times New Roman" w:hAnsi="Times New Roman" w:cs="Times New Roman"/>
          <w:sz w:val="24"/>
        </w:rPr>
        <w:t>Загальні</w:t>
      </w:r>
      <w:proofErr w:type="spellEnd"/>
      <w:r w:rsidR="008D4819" w:rsidRPr="00D55C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4819" w:rsidRPr="00D55C07">
        <w:rPr>
          <w:rFonts w:ascii="Times New Roman" w:hAnsi="Times New Roman" w:cs="Times New Roman"/>
          <w:sz w:val="24"/>
        </w:rPr>
        <w:t>показники</w:t>
      </w:r>
      <w:proofErr w:type="spellEnd"/>
      <w:r w:rsidR="008D4819" w:rsidRPr="00D55C07">
        <w:rPr>
          <w:rFonts w:ascii="Times New Roman" w:hAnsi="Times New Roman" w:cs="Times New Roman"/>
          <w:sz w:val="24"/>
        </w:rPr>
        <w:t xml:space="preserve"> бюджету»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D55C07">
        <w:rPr>
          <w:rFonts w:ascii="Times New Roman" w:hAnsi="Times New Roman" w:cs="Times New Roman"/>
          <w:sz w:val="24"/>
        </w:rPr>
        <w:t>Додаток</w:t>
      </w:r>
      <w:proofErr w:type="spellEnd"/>
      <w:r w:rsidRPr="00D55C07">
        <w:rPr>
          <w:rFonts w:ascii="Times New Roman" w:hAnsi="Times New Roman" w:cs="Times New Roman"/>
          <w:sz w:val="24"/>
        </w:rPr>
        <w:t xml:space="preserve"> 2 «</w:t>
      </w:r>
      <w:proofErr w:type="spellStart"/>
      <w:r w:rsidRPr="00D55C07">
        <w:rPr>
          <w:rFonts w:ascii="Times New Roman" w:hAnsi="Times New Roman" w:cs="Times New Roman"/>
          <w:sz w:val="24"/>
        </w:rPr>
        <w:t>Показники</w:t>
      </w:r>
      <w:proofErr w:type="spellEnd"/>
      <w:r w:rsidRPr="00D55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5C07">
        <w:rPr>
          <w:rFonts w:ascii="Times New Roman" w:hAnsi="Times New Roman" w:cs="Times New Roman"/>
          <w:sz w:val="24"/>
        </w:rPr>
        <w:t>доході</w:t>
      </w:r>
      <w:proofErr w:type="gramStart"/>
      <w:r w:rsidRPr="00D55C07">
        <w:rPr>
          <w:rFonts w:ascii="Times New Roman" w:hAnsi="Times New Roman" w:cs="Times New Roman"/>
          <w:sz w:val="24"/>
        </w:rPr>
        <w:t>в</w:t>
      </w:r>
      <w:proofErr w:type="spellEnd"/>
      <w:proofErr w:type="gramEnd"/>
      <w:r w:rsidRPr="00D55C07">
        <w:rPr>
          <w:rFonts w:ascii="Times New Roman" w:hAnsi="Times New Roman" w:cs="Times New Roman"/>
          <w:sz w:val="24"/>
        </w:rPr>
        <w:t xml:space="preserve"> бюджету» 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D55C07">
        <w:rPr>
          <w:rFonts w:ascii="Times New Roman" w:hAnsi="Times New Roman" w:cs="Times New Roman"/>
          <w:sz w:val="24"/>
        </w:rPr>
        <w:lastRenderedPageBreak/>
        <w:t>Додаток</w:t>
      </w:r>
      <w:proofErr w:type="spellEnd"/>
      <w:r w:rsidRPr="00D55C07">
        <w:rPr>
          <w:rFonts w:ascii="Times New Roman" w:hAnsi="Times New Roman" w:cs="Times New Roman"/>
          <w:sz w:val="24"/>
        </w:rPr>
        <w:t xml:space="preserve"> 3 «</w:t>
      </w:r>
      <w:proofErr w:type="spellStart"/>
      <w:r w:rsidR="008D4819" w:rsidRPr="00D55C07">
        <w:rPr>
          <w:rFonts w:ascii="Times New Roman" w:hAnsi="Times New Roman" w:cs="Times New Roman"/>
          <w:sz w:val="24"/>
        </w:rPr>
        <w:t>Показники</w:t>
      </w:r>
      <w:proofErr w:type="spellEnd"/>
      <w:r w:rsidR="008D4819" w:rsidRPr="00D55C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4819" w:rsidRPr="00D55C07">
        <w:rPr>
          <w:rFonts w:ascii="Times New Roman" w:hAnsi="Times New Roman" w:cs="Times New Roman"/>
          <w:sz w:val="24"/>
        </w:rPr>
        <w:t>фінансування</w:t>
      </w:r>
      <w:proofErr w:type="spellEnd"/>
      <w:r w:rsidR="008D4819" w:rsidRPr="00D55C07">
        <w:rPr>
          <w:rFonts w:ascii="Times New Roman" w:hAnsi="Times New Roman" w:cs="Times New Roman"/>
          <w:sz w:val="24"/>
        </w:rPr>
        <w:t xml:space="preserve"> бюджету»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D55C07">
        <w:rPr>
          <w:rFonts w:ascii="Times New Roman" w:hAnsi="Times New Roman" w:cs="Times New Roman"/>
          <w:sz w:val="24"/>
        </w:rPr>
        <w:t>Додато</w:t>
      </w:r>
      <w:r w:rsidR="008D4819" w:rsidRPr="00D55C07">
        <w:rPr>
          <w:rFonts w:ascii="Times New Roman" w:hAnsi="Times New Roman" w:cs="Times New Roman"/>
          <w:sz w:val="24"/>
        </w:rPr>
        <w:t>к</w:t>
      </w:r>
      <w:proofErr w:type="spellEnd"/>
      <w:r w:rsidR="008D4819" w:rsidRPr="00D55C07">
        <w:rPr>
          <w:rFonts w:ascii="Times New Roman" w:hAnsi="Times New Roman" w:cs="Times New Roman"/>
          <w:sz w:val="24"/>
        </w:rPr>
        <w:t xml:space="preserve"> 4 «</w:t>
      </w:r>
      <w:proofErr w:type="spellStart"/>
      <w:r w:rsidR="008D4819" w:rsidRPr="00D55C07">
        <w:rPr>
          <w:rFonts w:ascii="Times New Roman" w:hAnsi="Times New Roman" w:cs="Times New Roman"/>
          <w:sz w:val="24"/>
        </w:rPr>
        <w:t>Показники</w:t>
      </w:r>
      <w:proofErr w:type="spellEnd"/>
      <w:r w:rsidR="008D4819" w:rsidRPr="00D55C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4819" w:rsidRPr="00D55C07">
        <w:rPr>
          <w:rFonts w:ascii="Times New Roman" w:hAnsi="Times New Roman" w:cs="Times New Roman"/>
          <w:sz w:val="24"/>
        </w:rPr>
        <w:t>місцевого</w:t>
      </w:r>
      <w:proofErr w:type="spellEnd"/>
      <w:r w:rsidR="008D4819" w:rsidRPr="00D55C07">
        <w:rPr>
          <w:rFonts w:ascii="Times New Roman" w:hAnsi="Times New Roman" w:cs="Times New Roman"/>
          <w:sz w:val="24"/>
        </w:rPr>
        <w:t xml:space="preserve"> боргу»</w:t>
      </w:r>
      <w:r w:rsidRPr="00D55C07">
        <w:rPr>
          <w:rFonts w:ascii="Times New Roman" w:hAnsi="Times New Roman" w:cs="Times New Roman"/>
          <w:sz w:val="24"/>
        </w:rPr>
        <w:t xml:space="preserve"> 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55C07">
        <w:rPr>
          <w:rFonts w:ascii="Times New Roman" w:hAnsi="Times New Roman" w:cs="Times New Roman"/>
          <w:sz w:val="24"/>
          <w:lang w:val="uk-UA"/>
        </w:rPr>
        <w:t>Додаток 5</w:t>
      </w:r>
      <w:r w:rsidR="008D4819" w:rsidRPr="00D55C07">
        <w:rPr>
          <w:rFonts w:ascii="Times New Roman" w:hAnsi="Times New Roman" w:cs="Times New Roman"/>
          <w:sz w:val="24"/>
          <w:lang w:val="uk-UA"/>
        </w:rPr>
        <w:t xml:space="preserve"> «</w:t>
      </w:r>
      <w:r w:rsidRPr="00D55C07">
        <w:rPr>
          <w:rFonts w:ascii="Times New Roman" w:hAnsi="Times New Roman" w:cs="Times New Roman"/>
          <w:sz w:val="24"/>
          <w:lang w:val="uk-UA"/>
        </w:rPr>
        <w:t>Показники гарантованого Автономною Республікою Крим, обласною радою чи територіальною громадою міста борг</w:t>
      </w:r>
      <w:r w:rsidR="008D4819" w:rsidRPr="00D55C07">
        <w:rPr>
          <w:rFonts w:ascii="Times New Roman" w:hAnsi="Times New Roman" w:cs="Times New Roman"/>
          <w:sz w:val="24"/>
          <w:lang w:val="uk-UA"/>
        </w:rPr>
        <w:t>у і надання місцевих гарантій»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55C07">
        <w:rPr>
          <w:rFonts w:ascii="Times New Roman" w:hAnsi="Times New Roman" w:cs="Times New Roman"/>
          <w:sz w:val="24"/>
          <w:lang w:val="uk-UA"/>
        </w:rPr>
        <w:t>Додаток 6 «Граничні показники видатків бюджету та надання кредитів з бюджету</w:t>
      </w:r>
      <w:r w:rsidR="008D4819" w:rsidRPr="00D55C07">
        <w:rPr>
          <w:rFonts w:ascii="Times New Roman" w:hAnsi="Times New Roman" w:cs="Times New Roman"/>
          <w:sz w:val="24"/>
          <w:lang w:val="uk-UA"/>
        </w:rPr>
        <w:t xml:space="preserve"> головним розпорядникам коштів»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55C07">
        <w:rPr>
          <w:rFonts w:ascii="Times New Roman" w:hAnsi="Times New Roman" w:cs="Times New Roman"/>
          <w:sz w:val="24"/>
          <w:lang w:val="uk-UA"/>
        </w:rPr>
        <w:t xml:space="preserve">Додаток 7 «Граничні показники видатків бюджету за Типовою програмною класифікацією видатків та </w:t>
      </w:r>
      <w:r w:rsidR="008D4819" w:rsidRPr="00D55C07">
        <w:rPr>
          <w:rFonts w:ascii="Times New Roman" w:hAnsi="Times New Roman" w:cs="Times New Roman"/>
          <w:sz w:val="24"/>
          <w:lang w:val="uk-UA"/>
        </w:rPr>
        <w:t>кредитування місцевого бюджету»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55C07">
        <w:rPr>
          <w:rFonts w:ascii="Times New Roman" w:hAnsi="Times New Roman" w:cs="Times New Roman"/>
          <w:sz w:val="24"/>
          <w:lang w:val="uk-UA"/>
        </w:rPr>
        <w:t xml:space="preserve">Додаток 8 «Граничні показники кредитування бюджету за Типовою програмною класифікацією видатків та </w:t>
      </w:r>
      <w:r w:rsidR="008D4819" w:rsidRPr="00D55C07">
        <w:rPr>
          <w:rFonts w:ascii="Times New Roman" w:hAnsi="Times New Roman" w:cs="Times New Roman"/>
          <w:sz w:val="24"/>
          <w:lang w:val="uk-UA"/>
        </w:rPr>
        <w:t>кредитування місцевого бюджету»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55C07">
        <w:rPr>
          <w:rFonts w:ascii="Times New Roman" w:hAnsi="Times New Roman" w:cs="Times New Roman"/>
          <w:sz w:val="24"/>
          <w:lang w:val="uk-UA"/>
        </w:rPr>
        <w:t>Додаток</w:t>
      </w:r>
      <w:r w:rsidR="008D4819" w:rsidRPr="00D55C07">
        <w:rPr>
          <w:rFonts w:ascii="Times New Roman" w:hAnsi="Times New Roman" w:cs="Times New Roman"/>
          <w:sz w:val="24"/>
          <w:lang w:val="uk-UA"/>
        </w:rPr>
        <w:t xml:space="preserve"> 9 «Показники бюджету розвитку»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55C07">
        <w:rPr>
          <w:rFonts w:ascii="Times New Roman" w:hAnsi="Times New Roman" w:cs="Times New Roman"/>
          <w:sz w:val="24"/>
          <w:lang w:val="uk-UA"/>
        </w:rPr>
        <w:t xml:space="preserve">Додаток 10 «Обсяги капітальних вкладень місцевого бюджету у </w:t>
      </w:r>
      <w:r w:rsidR="008D4819" w:rsidRPr="00D55C07">
        <w:rPr>
          <w:rFonts w:ascii="Times New Roman" w:hAnsi="Times New Roman" w:cs="Times New Roman"/>
          <w:sz w:val="24"/>
          <w:lang w:val="uk-UA"/>
        </w:rPr>
        <w:t>розрізі інвестиційних проектів»</w:t>
      </w:r>
      <w:r w:rsidRPr="00D55C07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732D53" w:rsidRPr="00D55C07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55C07">
        <w:rPr>
          <w:rFonts w:ascii="Times New Roman" w:hAnsi="Times New Roman" w:cs="Times New Roman"/>
          <w:sz w:val="24"/>
          <w:lang w:val="uk-UA"/>
        </w:rPr>
        <w:t>Додаток 11 «Показники міжбюджетни</w:t>
      </w:r>
      <w:r w:rsidR="008D4819" w:rsidRPr="00D55C07">
        <w:rPr>
          <w:rFonts w:ascii="Times New Roman" w:hAnsi="Times New Roman" w:cs="Times New Roman"/>
          <w:sz w:val="24"/>
          <w:lang w:val="uk-UA"/>
        </w:rPr>
        <w:t>х трансфертів з інших бюджетів»</w:t>
      </w:r>
      <w:r w:rsidRPr="00D55C07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732D53" w:rsidRDefault="00732D53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55C07">
        <w:rPr>
          <w:rFonts w:ascii="Times New Roman" w:hAnsi="Times New Roman" w:cs="Times New Roman"/>
          <w:sz w:val="24"/>
          <w:lang w:val="uk-UA"/>
        </w:rPr>
        <w:t>Додаток 12 «Граничні показники кредитування бюджету за Типовою програмною класифікацією видатків та кредитування місцевого бюджету».</w:t>
      </w:r>
    </w:p>
    <w:p w:rsidR="00636EAC" w:rsidRDefault="00636EAC" w:rsidP="0074267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636EAC" w:rsidRPr="00D55C07" w:rsidRDefault="00636EAC" w:rsidP="0074267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732D53" w:rsidRPr="00D55C07" w:rsidRDefault="00732D53" w:rsidP="00742678">
      <w:pPr>
        <w:spacing w:line="240" w:lineRule="auto"/>
        <w:rPr>
          <w:lang w:val="uk-UA"/>
        </w:rPr>
      </w:pPr>
      <w:r w:rsidRPr="00D55C07">
        <w:rPr>
          <w:lang w:val="uk-UA"/>
        </w:rPr>
        <w:t xml:space="preserve"> </w:t>
      </w:r>
    </w:p>
    <w:p w:rsidR="00E7715E" w:rsidRPr="00636EAC" w:rsidRDefault="00636EAC" w:rsidP="00742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EAC">
        <w:rPr>
          <w:rFonts w:ascii="Times New Roman" w:hAnsi="Times New Roman" w:cs="Times New Roman"/>
          <w:sz w:val="24"/>
          <w:szCs w:val="24"/>
          <w:lang w:val="uk-UA"/>
        </w:rPr>
        <w:t>Начальник фінансового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Альвіна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ДЕМЧЕНКО</w:t>
      </w:r>
    </w:p>
    <w:sectPr w:rsidR="00E7715E" w:rsidRPr="00636EAC" w:rsidSect="00C717F8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75" w:rsidRDefault="007A6675" w:rsidP="00E7715E">
      <w:pPr>
        <w:spacing w:after="0" w:line="240" w:lineRule="auto"/>
      </w:pPr>
      <w:r>
        <w:separator/>
      </w:r>
    </w:p>
  </w:endnote>
  <w:endnote w:type="continuationSeparator" w:id="0">
    <w:p w:rsidR="007A6675" w:rsidRDefault="007A6675" w:rsidP="00E7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75" w:rsidRDefault="007A6675" w:rsidP="00E7715E">
      <w:pPr>
        <w:spacing w:after="0" w:line="240" w:lineRule="auto"/>
      </w:pPr>
      <w:r>
        <w:separator/>
      </w:r>
    </w:p>
  </w:footnote>
  <w:footnote w:type="continuationSeparator" w:id="0">
    <w:p w:rsidR="007A6675" w:rsidRDefault="007A6675" w:rsidP="00E7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0857"/>
    <w:multiLevelType w:val="hybridMultilevel"/>
    <w:tmpl w:val="E9842862"/>
    <w:lvl w:ilvl="0" w:tplc="24BA6EE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68960175"/>
    <w:multiLevelType w:val="hybridMultilevel"/>
    <w:tmpl w:val="34EA5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D7"/>
    <w:rsid w:val="0000719A"/>
    <w:rsid w:val="00015B7E"/>
    <w:rsid w:val="00027E83"/>
    <w:rsid w:val="0005283A"/>
    <w:rsid w:val="00060759"/>
    <w:rsid w:val="00067FC5"/>
    <w:rsid w:val="000759F5"/>
    <w:rsid w:val="000C435A"/>
    <w:rsid w:val="000C538D"/>
    <w:rsid w:val="000F4404"/>
    <w:rsid w:val="00105748"/>
    <w:rsid w:val="001167FF"/>
    <w:rsid w:val="00125F70"/>
    <w:rsid w:val="00155D8F"/>
    <w:rsid w:val="00171DF2"/>
    <w:rsid w:val="001A79CA"/>
    <w:rsid w:val="001B5E99"/>
    <w:rsid w:val="001B6D10"/>
    <w:rsid w:val="001C0A0F"/>
    <w:rsid w:val="002241E4"/>
    <w:rsid w:val="00245F04"/>
    <w:rsid w:val="002A599C"/>
    <w:rsid w:val="002C49B4"/>
    <w:rsid w:val="002D0E5C"/>
    <w:rsid w:val="002D735A"/>
    <w:rsid w:val="002E4AC1"/>
    <w:rsid w:val="002F4C69"/>
    <w:rsid w:val="00332377"/>
    <w:rsid w:val="0035164B"/>
    <w:rsid w:val="00357729"/>
    <w:rsid w:val="00375ACF"/>
    <w:rsid w:val="003C7149"/>
    <w:rsid w:val="003F31EB"/>
    <w:rsid w:val="00406BB3"/>
    <w:rsid w:val="00417076"/>
    <w:rsid w:val="004616B0"/>
    <w:rsid w:val="004877E4"/>
    <w:rsid w:val="004939A6"/>
    <w:rsid w:val="004B4C49"/>
    <w:rsid w:val="004B736B"/>
    <w:rsid w:val="0051062D"/>
    <w:rsid w:val="005249DF"/>
    <w:rsid w:val="0054251F"/>
    <w:rsid w:val="00550012"/>
    <w:rsid w:val="00550345"/>
    <w:rsid w:val="005520C3"/>
    <w:rsid w:val="00567551"/>
    <w:rsid w:val="005A2E66"/>
    <w:rsid w:val="005B1842"/>
    <w:rsid w:val="005C273F"/>
    <w:rsid w:val="005D35DD"/>
    <w:rsid w:val="005D7A6B"/>
    <w:rsid w:val="005E5AB2"/>
    <w:rsid w:val="00623C18"/>
    <w:rsid w:val="0062586B"/>
    <w:rsid w:val="00636EAC"/>
    <w:rsid w:val="00637483"/>
    <w:rsid w:val="006472AF"/>
    <w:rsid w:val="00647DF6"/>
    <w:rsid w:val="0066060F"/>
    <w:rsid w:val="006735AD"/>
    <w:rsid w:val="006B3625"/>
    <w:rsid w:val="006B40AD"/>
    <w:rsid w:val="006E18BC"/>
    <w:rsid w:val="006F2D89"/>
    <w:rsid w:val="00730577"/>
    <w:rsid w:val="00732D53"/>
    <w:rsid w:val="0074045B"/>
    <w:rsid w:val="00742678"/>
    <w:rsid w:val="007635A0"/>
    <w:rsid w:val="00771C15"/>
    <w:rsid w:val="00784D13"/>
    <w:rsid w:val="00791B59"/>
    <w:rsid w:val="0079415E"/>
    <w:rsid w:val="007A6675"/>
    <w:rsid w:val="007B5138"/>
    <w:rsid w:val="007C4DB4"/>
    <w:rsid w:val="007E7B2B"/>
    <w:rsid w:val="007F221D"/>
    <w:rsid w:val="007F3282"/>
    <w:rsid w:val="007F5371"/>
    <w:rsid w:val="00821D8B"/>
    <w:rsid w:val="00851C96"/>
    <w:rsid w:val="008651BA"/>
    <w:rsid w:val="0088563D"/>
    <w:rsid w:val="008C4353"/>
    <w:rsid w:val="008D1614"/>
    <w:rsid w:val="008D4819"/>
    <w:rsid w:val="008E08F0"/>
    <w:rsid w:val="008E176C"/>
    <w:rsid w:val="009051D3"/>
    <w:rsid w:val="00932D6C"/>
    <w:rsid w:val="00993E7D"/>
    <w:rsid w:val="009961E3"/>
    <w:rsid w:val="009B4C81"/>
    <w:rsid w:val="009B5D81"/>
    <w:rsid w:val="009F1E08"/>
    <w:rsid w:val="009F5EBD"/>
    <w:rsid w:val="00A06C70"/>
    <w:rsid w:val="00A6442D"/>
    <w:rsid w:val="00A86921"/>
    <w:rsid w:val="00A86BB3"/>
    <w:rsid w:val="00AA700D"/>
    <w:rsid w:val="00AB37C8"/>
    <w:rsid w:val="00AC3634"/>
    <w:rsid w:val="00B1334D"/>
    <w:rsid w:val="00B37EFF"/>
    <w:rsid w:val="00B508F8"/>
    <w:rsid w:val="00B518D7"/>
    <w:rsid w:val="00B7310F"/>
    <w:rsid w:val="00B81A1B"/>
    <w:rsid w:val="00BF036F"/>
    <w:rsid w:val="00C04D65"/>
    <w:rsid w:val="00C1438C"/>
    <w:rsid w:val="00C569DA"/>
    <w:rsid w:val="00C717F8"/>
    <w:rsid w:val="00CA3B51"/>
    <w:rsid w:val="00CC3A78"/>
    <w:rsid w:val="00CE1196"/>
    <w:rsid w:val="00CE5689"/>
    <w:rsid w:val="00D05CF6"/>
    <w:rsid w:val="00D3117C"/>
    <w:rsid w:val="00D33E45"/>
    <w:rsid w:val="00D55C07"/>
    <w:rsid w:val="00D81BA4"/>
    <w:rsid w:val="00DD3BA7"/>
    <w:rsid w:val="00DF03E7"/>
    <w:rsid w:val="00DF0822"/>
    <w:rsid w:val="00E05139"/>
    <w:rsid w:val="00E120F9"/>
    <w:rsid w:val="00E54FD2"/>
    <w:rsid w:val="00E576F1"/>
    <w:rsid w:val="00E65BCD"/>
    <w:rsid w:val="00E7715E"/>
    <w:rsid w:val="00E9776A"/>
    <w:rsid w:val="00EB13FD"/>
    <w:rsid w:val="00EC267F"/>
    <w:rsid w:val="00F06D7F"/>
    <w:rsid w:val="00F314EF"/>
    <w:rsid w:val="00F55642"/>
    <w:rsid w:val="00F855A7"/>
    <w:rsid w:val="00FA2F6E"/>
    <w:rsid w:val="00FA4163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D1614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aliases w:val="Обычный (Web)"/>
    <w:basedOn w:val="a"/>
    <w:unhideWhenUsed/>
    <w:qFormat/>
    <w:rsid w:val="00E7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footnote reference"/>
    <w:uiPriority w:val="99"/>
    <w:semiHidden/>
    <w:unhideWhenUsed/>
    <w:rsid w:val="00E7715E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732D5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32D53"/>
    <w:rPr>
      <w:sz w:val="20"/>
      <w:szCs w:val="20"/>
    </w:rPr>
  </w:style>
  <w:style w:type="paragraph" w:styleId="a7">
    <w:name w:val="List Paragraph"/>
    <w:basedOn w:val="a"/>
    <w:uiPriority w:val="34"/>
    <w:qFormat/>
    <w:rsid w:val="00851C96"/>
    <w:pPr>
      <w:ind w:left="720"/>
      <w:contextualSpacing/>
    </w:pPr>
  </w:style>
  <w:style w:type="table" w:styleId="a8">
    <w:name w:val="Table Grid"/>
    <w:basedOn w:val="a1"/>
    <w:uiPriority w:val="59"/>
    <w:rsid w:val="00625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4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D1614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aliases w:val="Обычный (Web)"/>
    <w:basedOn w:val="a"/>
    <w:unhideWhenUsed/>
    <w:qFormat/>
    <w:rsid w:val="00E7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footnote reference"/>
    <w:uiPriority w:val="99"/>
    <w:semiHidden/>
    <w:unhideWhenUsed/>
    <w:rsid w:val="00E7715E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732D5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32D53"/>
    <w:rPr>
      <w:sz w:val="20"/>
      <w:szCs w:val="20"/>
    </w:rPr>
  </w:style>
  <w:style w:type="paragraph" w:styleId="a7">
    <w:name w:val="List Paragraph"/>
    <w:basedOn w:val="a"/>
    <w:uiPriority w:val="34"/>
    <w:qFormat/>
    <w:rsid w:val="00851C96"/>
    <w:pPr>
      <w:ind w:left="720"/>
      <w:contextualSpacing/>
    </w:pPr>
  </w:style>
  <w:style w:type="table" w:styleId="a8">
    <w:name w:val="Table Grid"/>
    <w:basedOn w:val="a1"/>
    <w:uiPriority w:val="59"/>
    <w:rsid w:val="00625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4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6E20-1C7A-4420-BA68-D18C9191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8</Pages>
  <Words>3144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2021-07-07T07:05:00Z</dcterms:created>
  <dcterms:modified xsi:type="dcterms:W3CDTF">2025-09-17T08:46:00Z</dcterms:modified>
</cp:coreProperties>
</file>