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lineRule="auto" w:line="240" w:before="140" w:after="120"/>
        <w:jc w:val="center"/>
        <w:rPr>
          <w:rFonts w:ascii="Times New Roman" w:hAnsi="Times New Roman"/>
          <w:b/>
          <w:sz w:val="24"/>
          <w:szCs w:val="24"/>
          <w:lang w:val="uk-UA"/>
        </w:rPr>
      </w:pPr>
      <w:r>
        <w:rPr>
          <w:rFonts w:ascii="Times New Roman" w:hAnsi="Times New Roman"/>
          <w:b/>
          <w:sz w:val="24"/>
          <w:szCs w:val="24"/>
          <w:lang w:val="uk-UA"/>
        </w:rPr>
        <w:t>ЗВІТ</w:t>
      </w:r>
    </w:p>
    <w:p>
      <w:pPr>
        <w:pStyle w:val="BodyText"/>
        <w:bidi w:val="0"/>
        <w:spacing w:lineRule="auto" w:line="240"/>
        <w:jc w:val="center"/>
        <w:rPr>
          <w:rFonts w:ascii="Times New Roman" w:hAnsi="Times New Roman"/>
          <w:b/>
          <w:lang w:val="uk-UA"/>
        </w:rPr>
      </w:pPr>
      <w:r>
        <w:rPr>
          <w:rFonts w:ascii="Times New Roman" w:hAnsi="Times New Roman"/>
          <w:b/>
          <w:lang w:val="uk-UA"/>
        </w:rPr>
        <w:t>про стан виконання Комплексної програми розвитку освіти Смолінської селищної територіальної громади на 2021–2025 роки за підсумками 2025 року</w:t>
      </w:r>
    </w:p>
    <w:p>
      <w:pPr>
        <w:pStyle w:val="Heading4"/>
        <w:bidi w:val="0"/>
        <w:spacing w:lineRule="auto" w:line="240"/>
        <w:jc w:val="both"/>
        <w:rPr>
          <w:rFonts w:ascii="Times New Roman" w:hAnsi="Times New Roman"/>
          <w:b/>
          <w:lang w:val="uk-UA"/>
        </w:rPr>
      </w:pPr>
      <w:r>
        <w:rPr>
          <w:rFonts w:ascii="Times New Roman" w:hAnsi="Times New Roman"/>
          <w:b/>
          <w:lang w:val="uk-UA"/>
        </w:rPr>
        <w:t>1. Загальні положення</w:t>
      </w:r>
    </w:p>
    <w:p>
      <w:pPr>
        <w:pStyle w:val="BodyText"/>
        <w:bidi w:val="0"/>
        <w:spacing w:lineRule="auto" w:line="240" w:before="0" w:after="0"/>
        <w:jc w:val="both"/>
        <w:rPr>
          <w:rFonts w:ascii="Times New Roman" w:hAnsi="Times New Roman"/>
          <w:lang w:val="uk-UA"/>
        </w:rPr>
      </w:pPr>
      <w:r>
        <w:rPr>
          <w:rFonts w:ascii="Times New Roman" w:hAnsi="Times New Roman"/>
          <w:lang w:val="uk-UA"/>
        </w:rPr>
        <w:t>Комплексна програма розвитку освіти Смолінської селищної територіальної громади на 2021–2025 роки є стратегічним документом, що визначає основні напрями розвитку галузі, механізми реалізації державної політики на місцевому рівні та фінансове забезпечення відповідних заходів.</w:t>
      </w:r>
    </w:p>
    <w:p>
      <w:pPr>
        <w:pStyle w:val="BodyText"/>
        <w:bidi w:val="0"/>
        <w:spacing w:lineRule="auto" w:line="240"/>
        <w:jc w:val="both"/>
        <w:rPr>
          <w:rFonts w:ascii="Times New Roman" w:hAnsi="Times New Roman"/>
          <w:lang w:val="uk-UA"/>
        </w:rPr>
      </w:pPr>
      <w:r>
        <w:rPr>
          <w:rFonts w:ascii="Times New Roman" w:hAnsi="Times New Roman"/>
          <w:lang w:val="uk-UA"/>
        </w:rPr>
        <w:t>У 2025 році завершено фінальний етап реалізації Програми. Основна діяльність була зосереджена на:</w:t>
      </w:r>
    </w:p>
    <w:p>
      <w:pPr>
        <w:pStyle w:val="BodyText"/>
        <w:numPr>
          <w:ilvl w:val="0"/>
          <w:numId w:val="2"/>
        </w:numPr>
        <w:tabs>
          <w:tab w:val="clear" w:pos="709"/>
          <w:tab w:val="left" w:pos="709" w:leader="none"/>
        </w:tabs>
        <w:bidi w:val="0"/>
        <w:spacing w:lineRule="auto" w:line="240" w:before="0" w:after="26"/>
        <w:ind w:hanging="283" w:start="709"/>
        <w:jc w:val="both"/>
        <w:rPr>
          <w:rFonts w:ascii="Times New Roman" w:hAnsi="Times New Roman"/>
          <w:lang w:val="uk-UA"/>
        </w:rPr>
      </w:pPr>
      <w:r>
        <w:rPr>
          <w:rFonts w:ascii="Times New Roman" w:hAnsi="Times New Roman"/>
          <w:lang w:val="uk-UA"/>
        </w:rPr>
        <w:t>забезпеченні доступності та якості освітніх послуг;</w:t>
      </w:r>
    </w:p>
    <w:p>
      <w:pPr>
        <w:pStyle w:val="BodyText"/>
        <w:numPr>
          <w:ilvl w:val="0"/>
          <w:numId w:val="2"/>
        </w:numPr>
        <w:tabs>
          <w:tab w:val="clear" w:pos="709"/>
          <w:tab w:val="left" w:pos="709" w:leader="none"/>
        </w:tabs>
        <w:bidi w:val="0"/>
        <w:spacing w:lineRule="auto" w:line="240" w:before="0" w:after="26"/>
        <w:ind w:hanging="283" w:start="709"/>
        <w:jc w:val="both"/>
        <w:rPr>
          <w:rFonts w:ascii="Times New Roman" w:hAnsi="Times New Roman"/>
          <w:lang w:val="uk-UA"/>
        </w:rPr>
      </w:pPr>
      <w:r>
        <w:rPr>
          <w:rFonts w:ascii="Times New Roman" w:hAnsi="Times New Roman"/>
          <w:lang w:val="uk-UA"/>
        </w:rPr>
        <w:t>створенні безпечного освітнього середовища в умовах воєнного стану;</w:t>
      </w:r>
    </w:p>
    <w:p>
      <w:pPr>
        <w:pStyle w:val="BodyText"/>
        <w:numPr>
          <w:ilvl w:val="0"/>
          <w:numId w:val="2"/>
        </w:numPr>
        <w:tabs>
          <w:tab w:val="clear" w:pos="709"/>
          <w:tab w:val="left" w:pos="709" w:leader="none"/>
        </w:tabs>
        <w:bidi w:val="0"/>
        <w:spacing w:lineRule="auto" w:line="240" w:before="0" w:after="26"/>
        <w:ind w:hanging="283" w:start="709"/>
        <w:jc w:val="both"/>
        <w:rPr>
          <w:rFonts w:ascii="Times New Roman" w:hAnsi="Times New Roman"/>
          <w:lang w:val="uk-UA"/>
        </w:rPr>
      </w:pPr>
      <w:r>
        <w:rPr>
          <w:rFonts w:ascii="Times New Roman" w:hAnsi="Times New Roman"/>
          <w:lang w:val="uk-UA"/>
        </w:rPr>
        <w:t>підтримці обдарованої молоді та розвитку кадрового потенціалу;</w:t>
      </w:r>
    </w:p>
    <w:p>
      <w:pPr>
        <w:pStyle w:val="BodyText"/>
        <w:numPr>
          <w:ilvl w:val="0"/>
          <w:numId w:val="2"/>
        </w:numPr>
        <w:tabs>
          <w:tab w:val="clear" w:pos="709"/>
          <w:tab w:val="left" w:pos="709" w:leader="none"/>
        </w:tabs>
        <w:bidi w:val="0"/>
        <w:spacing w:lineRule="auto" w:line="240" w:before="0" w:after="26"/>
        <w:ind w:hanging="283" w:start="709"/>
        <w:jc w:val="both"/>
        <w:rPr>
          <w:rFonts w:ascii="Times New Roman" w:hAnsi="Times New Roman"/>
          <w:lang w:val="uk-UA"/>
        </w:rPr>
      </w:pPr>
      <w:r>
        <w:rPr>
          <w:rFonts w:ascii="Times New Roman" w:hAnsi="Times New Roman"/>
          <w:lang w:val="uk-UA"/>
        </w:rPr>
        <w:t>цифровізації освітнього процесу та зміцненні матеріально-технічної бази.</w:t>
      </w:r>
    </w:p>
    <w:p>
      <w:pPr>
        <w:pStyle w:val="Heading4"/>
        <w:bidi w:val="0"/>
        <w:spacing w:lineRule="auto" w:line="240"/>
        <w:jc w:val="both"/>
        <w:rPr>
          <w:rFonts w:ascii="Times New Roman" w:hAnsi="Times New Roman"/>
          <w:b/>
          <w:lang w:val="uk-UA"/>
        </w:rPr>
      </w:pPr>
      <w:r>
        <w:rPr>
          <w:rFonts w:ascii="Times New Roman" w:hAnsi="Times New Roman"/>
          <w:b/>
          <w:lang w:val="uk-UA"/>
        </w:rPr>
        <w:t>2. Дошкільна освіта</w:t>
      </w:r>
    </w:p>
    <w:p>
      <w:pPr>
        <w:pStyle w:val="BodyText"/>
        <w:bidi w:val="0"/>
        <w:spacing w:lineRule="auto" w:line="240" w:before="0" w:after="0"/>
        <w:jc w:val="both"/>
        <w:rPr>
          <w:rFonts w:ascii="Times New Roman" w:hAnsi="Times New Roman"/>
          <w:lang w:val="uk-UA"/>
        </w:rPr>
      </w:pPr>
      <w:r>
        <w:rPr>
          <w:rFonts w:ascii="Times New Roman" w:hAnsi="Times New Roman"/>
          <w:lang w:val="uk-UA"/>
        </w:rPr>
        <w:t>У 2025 році в громаді функціонувало 2 заклади дошкільної освіти (ЗДО), які відвідували 216 дітей.</w:t>
      </w:r>
    </w:p>
    <w:p>
      <w:pPr>
        <w:pStyle w:val="BodyText"/>
        <w:bidi w:val="0"/>
        <w:spacing w:lineRule="auto" w:line="240" w:before="0" w:after="0"/>
        <w:jc w:val="both"/>
        <w:rPr>
          <w:rFonts w:ascii="Times New Roman" w:hAnsi="Times New Roman"/>
          <w:lang w:val="uk-UA"/>
        </w:rPr>
      </w:pPr>
      <w:r>
        <w:rPr>
          <w:rFonts w:ascii="Times New Roman" w:hAnsi="Times New Roman"/>
          <w:lang w:val="uk-UA"/>
        </w:rPr>
        <w:t>Забезпечено 100% охоплення освітою дітей п’ятирічного віку.</w:t>
      </w:r>
    </w:p>
    <w:p>
      <w:pPr>
        <w:pStyle w:val="BodyText"/>
        <w:bidi w:val="0"/>
        <w:spacing w:lineRule="auto" w:line="240"/>
        <w:jc w:val="both"/>
        <w:rPr>
          <w:rFonts w:ascii="Times New Roman" w:hAnsi="Times New Roman"/>
          <w:lang w:val="uk-UA"/>
        </w:rPr>
      </w:pPr>
      <w:r>
        <w:rPr>
          <w:rFonts w:ascii="Times New Roman" w:hAnsi="Times New Roman"/>
          <w:lang w:val="uk-UA"/>
        </w:rPr>
        <w:t>У структурі закладів діяло 9 інклюзивних груп для дітей з особливими освітніми потребами.</w:t>
      </w:r>
    </w:p>
    <w:p>
      <w:pPr>
        <w:pStyle w:val="BodyText"/>
        <w:bidi w:val="0"/>
        <w:spacing w:lineRule="auto" w:line="240"/>
        <w:jc w:val="both"/>
        <w:rPr>
          <w:rFonts w:ascii="Times New Roman" w:hAnsi="Times New Roman"/>
          <w:b/>
          <w:lang w:val="uk-UA"/>
        </w:rPr>
      </w:pPr>
      <w:r>
        <w:rPr>
          <w:rFonts w:ascii="Times New Roman" w:hAnsi="Times New Roman"/>
          <w:b/>
          <w:lang w:val="uk-UA"/>
        </w:rPr>
        <w:t>Результати року:</w:t>
      </w:r>
    </w:p>
    <w:p>
      <w:pPr>
        <w:pStyle w:val="BodyText"/>
        <w:bidi w:val="0"/>
        <w:spacing w:lineRule="auto" w:line="240" w:before="0" w:after="0"/>
        <w:jc w:val="both"/>
        <w:rPr>
          <w:rFonts w:ascii="Times New Roman" w:hAnsi="Times New Roman"/>
          <w:lang w:val="uk-UA"/>
        </w:rPr>
      </w:pPr>
      <w:r>
        <w:rPr>
          <w:rFonts w:ascii="Times New Roman" w:hAnsi="Times New Roman"/>
          <w:lang w:val="uk-UA"/>
        </w:rPr>
        <w:t>Реалізовано вимоги оновленого Базового компонента дошкільної освіти;</w:t>
      </w:r>
    </w:p>
    <w:p>
      <w:pPr>
        <w:pStyle w:val="BodyText"/>
        <w:bidi w:val="0"/>
        <w:spacing w:lineRule="auto" w:line="240" w:before="0" w:after="26"/>
        <w:jc w:val="both"/>
        <w:rPr>
          <w:rFonts w:ascii="Times New Roman" w:hAnsi="Times New Roman"/>
          <w:lang w:val="uk-UA"/>
        </w:rPr>
      </w:pPr>
      <w:r>
        <w:rPr>
          <w:rFonts w:ascii="Times New Roman" w:hAnsi="Times New Roman"/>
          <w:lang w:val="uk-UA"/>
        </w:rPr>
        <w:t>Модернізовано ігрові осередки та впроваджено цифрові форми взаємодії з батьками;</w:t>
      </w:r>
    </w:p>
    <w:p>
      <w:pPr>
        <w:pStyle w:val="BodyText"/>
        <w:bidi w:val="0"/>
        <w:spacing w:lineRule="auto" w:line="240"/>
        <w:jc w:val="both"/>
        <w:rPr>
          <w:rFonts w:ascii="Times New Roman" w:hAnsi="Times New Roman"/>
          <w:lang w:val="uk-UA"/>
        </w:rPr>
      </w:pPr>
      <w:r>
        <w:rPr>
          <w:rFonts w:ascii="Times New Roman" w:hAnsi="Times New Roman"/>
          <w:lang w:val="uk-UA"/>
        </w:rPr>
        <w:t>Забезпечено безперервність навчання з дотриманням безпекових вимог та санітарних норм.</w:t>
      </w:r>
    </w:p>
    <w:p>
      <w:pPr>
        <w:pStyle w:val="Heading4"/>
        <w:bidi w:val="0"/>
        <w:spacing w:lineRule="auto" w:line="240"/>
        <w:jc w:val="both"/>
        <w:rPr>
          <w:rFonts w:ascii="Times New Roman" w:hAnsi="Times New Roman"/>
          <w:b/>
          <w:lang w:val="uk-UA"/>
        </w:rPr>
      </w:pPr>
      <w:r>
        <w:rPr>
          <w:rFonts w:ascii="Times New Roman" w:hAnsi="Times New Roman"/>
          <w:b/>
          <w:lang w:val="uk-UA"/>
        </w:rPr>
        <w:t>3. Загальна середня освіта</w:t>
      </w:r>
    </w:p>
    <w:p>
      <w:pPr>
        <w:pStyle w:val="BodyText"/>
        <w:bidi w:val="0"/>
        <w:spacing w:lineRule="auto" w:line="240"/>
        <w:jc w:val="both"/>
        <w:rPr>
          <w:rFonts w:ascii="Times New Roman" w:hAnsi="Times New Roman"/>
          <w:b/>
          <w:lang w:val="uk-UA"/>
        </w:rPr>
      </w:pPr>
      <w:r>
        <w:rPr>
          <w:rFonts w:ascii="Times New Roman" w:hAnsi="Times New Roman"/>
          <w:b/>
          <w:lang w:val="uk-UA"/>
        </w:rPr>
        <w:t>3.1. Впровадження НУШ та профілізація.</w:t>
      </w:r>
    </w:p>
    <w:p>
      <w:pPr>
        <w:pStyle w:val="BodyText"/>
        <w:bidi w:val="0"/>
        <w:spacing w:lineRule="auto" w:line="240"/>
        <w:jc w:val="both"/>
        <w:rPr>
          <w:rFonts w:ascii="Times New Roman" w:hAnsi="Times New Roman"/>
          <w:lang w:val="uk-UA"/>
        </w:rPr>
      </w:pPr>
      <w:r>
        <w:rPr>
          <w:rFonts w:ascii="Times New Roman" w:hAnsi="Times New Roman"/>
          <w:lang w:val="uk-UA"/>
        </w:rPr>
        <w:t>Усі заклади загальної середньої освіти (ЗЗСО) громади забезпечили впровадження Державного стандарту базової середньої освіти. Продовжено розвиток мережі профільних класів за напрямами: філологічний (українська мова), історичний та природничий (біологія і екологія).</w:t>
      </w:r>
    </w:p>
    <w:p>
      <w:pPr>
        <w:pStyle w:val="BodyText"/>
        <w:bidi w:val="0"/>
        <w:spacing w:lineRule="auto" w:line="240"/>
        <w:jc w:val="both"/>
        <w:rPr>
          <w:rFonts w:ascii="Times New Roman" w:hAnsi="Times New Roman"/>
          <w:b/>
          <w:lang w:val="uk-UA"/>
        </w:rPr>
      </w:pPr>
      <w:r>
        <w:rPr>
          <w:rFonts w:ascii="Times New Roman" w:hAnsi="Times New Roman"/>
          <w:b/>
          <w:lang w:val="uk-UA"/>
        </w:rPr>
        <w:t>3.2. Матеріально-технічна база.</w:t>
      </w:r>
    </w:p>
    <w:p>
      <w:pPr>
        <w:pStyle w:val="BodyText"/>
        <w:bidi w:val="0"/>
        <w:spacing w:lineRule="auto" w:line="240" w:before="0" w:after="0"/>
        <w:jc w:val="both"/>
        <w:rPr>
          <w:rFonts w:ascii="Times New Roman" w:hAnsi="Times New Roman"/>
          <w:lang w:val="uk-UA"/>
        </w:rPr>
      </w:pPr>
      <w:r>
        <w:rPr>
          <w:rFonts w:ascii="Times New Roman" w:hAnsi="Times New Roman"/>
          <w:lang w:val="uk-UA"/>
        </w:rPr>
        <w:t xml:space="preserve"> </w:t>
      </w:r>
      <w:r>
        <w:rPr>
          <w:rFonts w:ascii="Times New Roman" w:hAnsi="Times New Roman"/>
          <w:lang w:val="uk-UA"/>
        </w:rPr>
        <w:t>Протягом року здійснено:</w:t>
      </w:r>
    </w:p>
    <w:p>
      <w:pPr>
        <w:pStyle w:val="BodyText"/>
        <w:numPr>
          <w:ilvl w:val="0"/>
          <w:numId w:val="3"/>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оновлення навчального та лабораторного обладнання;</w:t>
      </w:r>
    </w:p>
    <w:p>
      <w:pPr>
        <w:pStyle w:val="BodyText"/>
        <w:numPr>
          <w:ilvl w:val="0"/>
          <w:numId w:val="3"/>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удосконалення ІТ-інфраструктури та швидкісного інтернету;</w:t>
      </w:r>
    </w:p>
    <w:p>
      <w:pPr>
        <w:pStyle w:val="BodyText"/>
        <w:numPr>
          <w:ilvl w:val="0"/>
          <w:numId w:val="3"/>
        </w:numPr>
        <w:tabs>
          <w:tab w:val="clear" w:pos="709"/>
          <w:tab w:val="left" w:pos="709" w:leader="none"/>
        </w:tabs>
        <w:bidi w:val="0"/>
        <w:spacing w:lineRule="auto" w:line="240" w:before="0" w:after="0"/>
        <w:ind w:hanging="283" w:start="709"/>
        <w:jc w:val="both"/>
        <w:rPr>
          <w:rFonts w:ascii="Times New Roman" w:hAnsi="Times New Roman"/>
          <w:b w:val="false"/>
          <w:bCs w:val="false"/>
          <w:lang w:val="uk-UA"/>
        </w:rPr>
      </w:pPr>
      <w:r>
        <w:rPr>
          <w:rFonts w:ascii="Times New Roman" w:hAnsi="Times New Roman"/>
          <w:b w:val="false"/>
          <w:bCs w:val="false"/>
          <w:lang w:val="uk-UA"/>
        </w:rPr>
        <w:t>з</w:t>
      </w:r>
      <w:r>
        <w:rPr>
          <w:rFonts w:ascii="Times New Roman" w:hAnsi="Times New Roman"/>
          <w:b w:val="false"/>
          <w:bCs w:val="false"/>
          <w:lang w:val="uk-UA"/>
        </w:rPr>
        <w:t xml:space="preserve">дійснено масштабне оновлення навчального та лабораторного обладнання. Зокрема, отримано сучасне обладнання для кабінетів хімії, фізики, біології, географії та сучасної STEM-лабораторії, що забезпечує практичну спрямованість навчання згідно з вимогами НУШ </w:t>
      </w:r>
      <w:r>
        <w:rPr>
          <w:rFonts w:ascii="Times New Roman" w:hAnsi="Times New Roman"/>
          <w:b w:val="false"/>
          <w:bCs w:val="false"/>
          <w:lang w:val="uk-UA"/>
        </w:rPr>
        <w:t>та старшої профільної школи</w:t>
      </w:r>
      <w:r>
        <w:rPr>
          <w:rFonts w:ascii="Times New Roman" w:hAnsi="Times New Roman"/>
          <w:b w:val="false"/>
          <w:bCs w:val="false"/>
          <w:lang w:val="uk-UA"/>
        </w:rPr>
        <w:t>;</w:t>
      </w:r>
    </w:p>
    <w:p>
      <w:pPr>
        <w:pStyle w:val="BodyText"/>
        <w:numPr>
          <w:ilvl w:val="0"/>
          <w:numId w:val="3"/>
        </w:numPr>
        <w:tabs>
          <w:tab w:val="clear" w:pos="709"/>
          <w:tab w:val="left" w:pos="709" w:leader="none"/>
        </w:tabs>
        <w:bidi w:val="0"/>
        <w:spacing w:lineRule="auto" w:line="240" w:before="0" w:after="0"/>
        <w:ind w:hanging="283" w:start="709"/>
        <w:jc w:val="both"/>
        <w:rPr>
          <w:rFonts w:ascii="Times New Roman" w:hAnsi="Times New Roman"/>
          <w:b w:val="false"/>
          <w:bCs w:val="false"/>
          <w:lang w:val="uk-UA"/>
        </w:rPr>
      </w:pPr>
      <w:r>
        <w:rPr>
          <w:rFonts w:ascii="Times New Roman" w:hAnsi="Times New Roman"/>
          <w:b w:val="false"/>
          <w:bCs w:val="false"/>
          <w:lang w:val="uk-UA"/>
        </w:rPr>
        <w:t>п</w:t>
      </w:r>
      <w:r>
        <w:rPr>
          <w:rFonts w:ascii="Times New Roman" w:hAnsi="Times New Roman"/>
          <w:b w:val="false"/>
          <w:bCs w:val="false"/>
          <w:lang w:val="uk-UA"/>
        </w:rPr>
        <w:t>ридбано новий шкільний автобу</w:t>
      </w:r>
      <w:r>
        <w:rPr>
          <w:rFonts w:ascii="Times New Roman" w:hAnsi="Times New Roman"/>
          <w:b w:val="false"/>
          <w:bCs w:val="false"/>
          <w:lang w:val="uk-UA"/>
        </w:rPr>
        <w:t>с,</w:t>
      </w:r>
      <w:r>
        <w:rPr>
          <w:rFonts w:ascii="Times New Roman" w:hAnsi="Times New Roman"/>
          <w:b w:val="false"/>
          <w:bCs w:val="false"/>
          <w:lang w:val="uk-UA"/>
        </w:rPr>
        <w:t xml:space="preserve"> що дозволило значно покращити умови підвезення учнів та педагогів;</w:t>
      </w:r>
    </w:p>
    <w:p>
      <w:pPr>
        <w:pStyle w:val="BodyText"/>
        <w:numPr>
          <w:ilvl w:val="0"/>
          <w:numId w:val="3"/>
        </w:numPr>
        <w:tabs>
          <w:tab w:val="clear" w:pos="709"/>
          <w:tab w:val="left" w:pos="709" w:leader="none"/>
        </w:tabs>
        <w:bidi w:val="0"/>
        <w:spacing w:lineRule="auto" w:line="240" w:before="0" w:after="0"/>
        <w:ind w:hanging="283" w:start="709"/>
        <w:jc w:val="both"/>
        <w:rPr>
          <w:rFonts w:ascii="Times New Roman" w:hAnsi="Times New Roman"/>
          <w:b w:val="false"/>
          <w:bCs w:val="false"/>
          <w:lang w:val="uk-UA"/>
        </w:rPr>
      </w:pPr>
      <w:r>
        <w:rPr>
          <w:rFonts w:ascii="Times New Roman" w:hAnsi="Times New Roman"/>
          <w:b w:val="false"/>
          <w:bCs w:val="false"/>
          <w:lang w:val="uk-UA"/>
        </w:rPr>
        <w:t>встановлено АПС в початковій ланці Смолінського ліцею №2;</w:t>
      </w:r>
    </w:p>
    <w:p>
      <w:pPr>
        <w:pStyle w:val="BodyText"/>
        <w:numPr>
          <w:ilvl w:val="0"/>
          <w:numId w:val="3"/>
        </w:numPr>
        <w:tabs>
          <w:tab w:val="clear" w:pos="709"/>
          <w:tab w:val="left" w:pos="709" w:leader="none"/>
        </w:tabs>
        <w:bidi w:val="0"/>
        <w:spacing w:lineRule="auto" w:line="240"/>
        <w:ind w:hanging="283" w:start="709"/>
        <w:jc w:val="both"/>
        <w:rPr>
          <w:rFonts w:ascii="Times New Roman" w:hAnsi="Times New Roman"/>
          <w:b w:val="false"/>
          <w:bCs w:val="false"/>
          <w:lang w:val="uk-UA"/>
        </w:rPr>
      </w:pPr>
      <w:r>
        <w:rPr>
          <w:rFonts w:ascii="Times New Roman" w:hAnsi="Times New Roman"/>
          <w:b w:val="false"/>
          <w:bCs w:val="false"/>
          <w:lang w:val="uk-UA"/>
        </w:rPr>
        <w:t xml:space="preserve">створено сучасний багатофункціональний спортивний майданчик на базі Смолінського ліцею №2, що дозволяє проводити заняття та змагання на професійному рівні. </w:t>
      </w:r>
    </w:p>
    <w:p>
      <w:pPr>
        <w:pStyle w:val="BodyText"/>
        <w:numPr>
          <w:ilvl w:val="0"/>
          <w:numId w:val="3"/>
        </w:numPr>
        <w:tabs>
          <w:tab w:val="clear" w:pos="709"/>
          <w:tab w:val="left" w:pos="709" w:leader="none"/>
        </w:tabs>
        <w:bidi w:val="0"/>
        <w:spacing w:lineRule="auto" w:line="240"/>
        <w:ind w:hanging="283" w:start="709"/>
        <w:jc w:val="both"/>
        <w:rPr>
          <w:rFonts w:ascii="Times New Roman" w:hAnsi="Times New Roman"/>
          <w:lang w:val="uk-UA"/>
        </w:rPr>
      </w:pPr>
      <w:r>
        <w:rPr>
          <w:rFonts w:ascii="Times New Roman" w:hAnsi="Times New Roman"/>
          <w:lang w:val="uk-UA"/>
        </w:rPr>
        <w:t>покращення умов для занять фізичною культурою.</w:t>
      </w:r>
    </w:p>
    <w:p>
      <w:pPr>
        <w:pStyle w:val="BodyText"/>
        <w:bidi w:val="0"/>
        <w:spacing w:lineRule="auto" w:line="240"/>
        <w:jc w:val="both"/>
        <w:rPr>
          <w:rFonts w:ascii="Times New Roman" w:hAnsi="Times New Roman"/>
          <w:b/>
          <w:lang w:val="uk-UA"/>
        </w:rPr>
      </w:pPr>
      <w:r>
        <w:rPr>
          <w:rFonts w:ascii="Times New Roman" w:hAnsi="Times New Roman"/>
          <w:b/>
          <w:lang w:val="uk-UA"/>
        </w:rPr>
        <w:t>3.3. Освітні результати та підтримка обдарованості.</w:t>
      </w:r>
    </w:p>
    <w:p>
      <w:pPr>
        <w:pStyle w:val="BodyText"/>
        <w:bidi w:val="0"/>
        <w:spacing w:lineRule="auto" w:line="240" w:before="0" w:after="0"/>
        <w:jc w:val="both"/>
        <w:rPr>
          <w:rFonts w:ascii="Times New Roman" w:hAnsi="Times New Roman"/>
          <w:lang w:val="uk-UA"/>
        </w:rPr>
      </w:pPr>
      <w:r>
        <w:rPr>
          <w:rFonts w:ascii="Times New Roman" w:hAnsi="Times New Roman"/>
          <w:lang w:val="uk-UA"/>
        </w:rPr>
        <w:t xml:space="preserve"> </w:t>
      </w:r>
      <w:r>
        <w:rPr>
          <w:rFonts w:ascii="Times New Roman" w:hAnsi="Times New Roman"/>
          <w:lang w:val="uk-UA"/>
        </w:rPr>
        <w:t xml:space="preserve">У 2025 році зафіксовано </w:t>
      </w:r>
      <w:r>
        <w:rPr>
          <w:rFonts w:ascii="Times New Roman" w:hAnsi="Times New Roman"/>
          <w:lang w:val="uk-UA"/>
        </w:rPr>
        <w:t>покращення</w:t>
      </w:r>
      <w:r>
        <w:rPr>
          <w:rFonts w:ascii="Times New Roman" w:hAnsi="Times New Roman"/>
          <w:lang w:val="uk-UA"/>
        </w:rPr>
        <w:t xml:space="preserve"> рів</w:t>
      </w:r>
      <w:r>
        <w:rPr>
          <w:rFonts w:ascii="Times New Roman" w:hAnsi="Times New Roman"/>
          <w:lang w:val="uk-UA"/>
        </w:rPr>
        <w:t>ня</w:t>
      </w:r>
      <w:r>
        <w:rPr>
          <w:rFonts w:ascii="Times New Roman" w:hAnsi="Times New Roman"/>
          <w:lang w:val="uk-UA"/>
        </w:rPr>
        <w:t xml:space="preserve"> навчальних досягнень:</w:t>
      </w:r>
    </w:p>
    <w:p>
      <w:pPr>
        <w:pStyle w:val="BodyText"/>
        <w:bidi w:val="0"/>
        <w:spacing w:lineRule="auto" w:line="240" w:before="0" w:after="0"/>
        <w:jc w:val="both"/>
        <w:rPr>
          <w:rFonts w:ascii="Times New Roman" w:hAnsi="Times New Roman"/>
          <w:lang w:val="uk-UA"/>
        </w:rPr>
      </w:pPr>
      <w:r>
        <w:rPr>
          <w:rFonts w:ascii="Times New Roman" w:hAnsi="Times New Roman"/>
          <w:lang w:val="uk-UA"/>
        </w:rPr>
        <w:t>100% випускників успішно склали національний мультипредметний тест із позитивною динамікою балів.</w:t>
      </w:r>
    </w:p>
    <w:p>
      <w:pPr>
        <w:pStyle w:val="BodyText"/>
        <w:bidi w:val="0"/>
        <w:spacing w:lineRule="auto" w:line="240" w:before="0" w:after="0"/>
        <w:jc w:val="both"/>
        <w:rPr>
          <w:rFonts w:ascii="Times New Roman" w:hAnsi="Times New Roman"/>
          <w:lang w:val="uk-UA"/>
        </w:rPr>
      </w:pPr>
      <w:r>
        <w:rPr>
          <w:rFonts w:ascii="Times New Roman" w:hAnsi="Times New Roman"/>
          <w:lang w:val="uk-UA"/>
        </w:rPr>
        <w:t>Учні громади стали призерами Всеукраїнських олімпіад, конкурсів МАН, мовно-літературних конкурсів ім. Т. Шевченка та П. Яцика.</w:t>
      </w:r>
    </w:p>
    <w:p>
      <w:pPr>
        <w:pStyle w:val="BodyText"/>
        <w:bidi w:val="0"/>
        <w:spacing w:lineRule="auto" w:line="240"/>
        <w:jc w:val="both"/>
        <w:rPr>
          <w:rFonts w:ascii="Times New Roman" w:hAnsi="Times New Roman"/>
          <w:lang w:val="uk-UA"/>
        </w:rPr>
      </w:pPr>
      <w:r>
        <w:rPr>
          <w:rFonts w:ascii="Times New Roman" w:hAnsi="Times New Roman"/>
          <w:lang w:val="uk-UA"/>
        </w:rPr>
        <w:t xml:space="preserve">Здійснювалася фінансова підтримка та заохочення обдарованої молоді за досягнення у навчанні, творчості та спорті на загальну суму </w:t>
      </w:r>
      <w:r>
        <w:rPr>
          <w:rFonts w:ascii="Times New Roman" w:hAnsi="Times New Roman"/>
          <w:b w:val="false"/>
          <w:bCs w:val="false"/>
          <w:lang w:val="uk-UA"/>
        </w:rPr>
        <w:t>94,4 тис. грн.</w:t>
      </w:r>
    </w:p>
    <w:p>
      <w:pPr>
        <w:pStyle w:val="Heading4"/>
        <w:bidi w:val="0"/>
        <w:spacing w:lineRule="auto" w:line="240"/>
        <w:jc w:val="both"/>
        <w:rPr>
          <w:rFonts w:ascii="Times New Roman" w:hAnsi="Times New Roman"/>
          <w:b/>
          <w:lang w:val="uk-UA"/>
        </w:rPr>
      </w:pPr>
      <w:r>
        <w:rPr>
          <w:rFonts w:ascii="Times New Roman" w:hAnsi="Times New Roman"/>
          <w:b/>
          <w:lang w:val="uk-UA"/>
        </w:rPr>
        <w:t>4. Позашкільна освіта</w:t>
      </w:r>
    </w:p>
    <w:p>
      <w:pPr>
        <w:pStyle w:val="BodyText"/>
        <w:bidi w:val="0"/>
        <w:spacing w:lineRule="auto" w:line="240" w:before="0" w:after="0"/>
        <w:jc w:val="both"/>
        <w:rPr>
          <w:rFonts w:ascii="Times New Roman" w:hAnsi="Times New Roman"/>
          <w:lang w:val="uk-UA"/>
        </w:rPr>
      </w:pPr>
      <w:r>
        <w:rPr>
          <w:rFonts w:ascii="Times New Roman" w:hAnsi="Times New Roman"/>
          <w:lang w:val="uk-UA"/>
        </w:rPr>
        <w:t xml:space="preserve">Позашкільною освітою охоплено </w:t>
      </w:r>
      <w:r>
        <w:rPr>
          <w:rFonts w:ascii="Times New Roman" w:hAnsi="Times New Roman"/>
          <w:b w:val="false"/>
          <w:bCs w:val="false"/>
          <w:lang w:val="uk-UA"/>
        </w:rPr>
        <w:t>318 вихованців</w:t>
      </w:r>
      <w:r>
        <w:rPr>
          <w:rFonts w:ascii="Times New Roman" w:hAnsi="Times New Roman"/>
          <w:lang w:val="uk-UA"/>
        </w:rPr>
        <w:t>. Діяльність здійснювалася за трьома відділеннями у складі 20 гуртків:</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b w:val="false"/>
          <w:bCs w:val="false"/>
          <w:lang w:val="uk-UA"/>
        </w:rPr>
        <w:t xml:space="preserve">Художньо-естетичний напрям </w:t>
      </w:r>
      <w:r>
        <w:rPr>
          <w:rFonts w:ascii="Times New Roman" w:hAnsi="Times New Roman"/>
          <w:b/>
          <w:lang w:val="uk-UA"/>
        </w:rPr>
        <w:t xml:space="preserve">- </w:t>
      </w:r>
      <w:r>
        <w:rPr>
          <w:rFonts w:ascii="Times New Roman" w:hAnsi="Times New Roman"/>
          <w:lang w:val="uk-UA"/>
        </w:rPr>
        <w:t>13 гуртків (225 вихованців);</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b w:val="false"/>
          <w:bCs w:val="false"/>
          <w:lang w:val="uk-UA"/>
        </w:rPr>
        <w:t>Фізкультурно-спортивний напрям</w:t>
      </w:r>
      <w:r>
        <w:rPr>
          <w:rFonts w:ascii="Times New Roman" w:hAnsi="Times New Roman"/>
          <w:b/>
          <w:lang w:val="uk-UA"/>
        </w:rPr>
        <w:t xml:space="preserve"> -</w:t>
      </w:r>
      <w:r>
        <w:rPr>
          <w:rFonts w:ascii="Times New Roman" w:hAnsi="Times New Roman"/>
          <w:lang w:val="uk-UA"/>
        </w:rPr>
        <w:t xml:space="preserve"> 4 гуртки (59 вихованців);</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b w:val="false"/>
          <w:bCs w:val="false"/>
          <w:lang w:val="uk-UA"/>
        </w:rPr>
        <w:t>Гуманітарний напрям</w:t>
      </w:r>
      <w:r>
        <w:rPr>
          <w:rFonts w:ascii="Times New Roman" w:hAnsi="Times New Roman"/>
          <w:b/>
          <w:lang w:val="uk-UA"/>
        </w:rPr>
        <w:t xml:space="preserve"> -</w:t>
      </w:r>
      <w:r>
        <w:rPr>
          <w:rFonts w:ascii="Times New Roman" w:hAnsi="Times New Roman"/>
          <w:lang w:val="uk-UA"/>
        </w:rPr>
        <w:t xml:space="preserve"> 3 гуртки (34 вихованці). </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b w:val="false"/>
          <w:bCs w:val="false"/>
          <w:lang w:val="uk-UA"/>
        </w:rPr>
        <w:t>Розширено мережу</w:t>
      </w:r>
      <w:r>
        <w:rPr>
          <w:rFonts w:ascii="Times New Roman" w:hAnsi="Times New Roman"/>
          <w:lang w:val="uk-UA"/>
        </w:rPr>
        <w:t xml:space="preserve"> військово-патріотичного виховання (гра «Джура»), розпочато роботу студії раннього розвитку «Малятко».</w:t>
      </w:r>
    </w:p>
    <w:p>
      <w:pPr>
        <w:pStyle w:val="Heading4"/>
        <w:bidi w:val="0"/>
        <w:spacing w:lineRule="auto" w:line="240"/>
        <w:jc w:val="both"/>
        <w:rPr>
          <w:rFonts w:ascii="Times New Roman" w:hAnsi="Times New Roman"/>
          <w:b/>
          <w:lang w:val="uk-UA"/>
        </w:rPr>
      </w:pPr>
      <w:r>
        <w:rPr>
          <w:rFonts w:ascii="Times New Roman" w:hAnsi="Times New Roman"/>
          <w:b/>
          <w:lang w:val="uk-UA"/>
        </w:rPr>
        <w:t>5. Інклюзивна освіта</w:t>
      </w:r>
    </w:p>
    <w:p>
      <w:pPr>
        <w:pStyle w:val="BodyText"/>
        <w:bidi w:val="0"/>
        <w:spacing w:lineRule="auto" w:line="240" w:before="0" w:after="0"/>
        <w:jc w:val="both"/>
        <w:rPr>
          <w:rFonts w:ascii="Times New Roman" w:hAnsi="Times New Roman"/>
          <w:lang w:val="uk-UA"/>
        </w:rPr>
      </w:pPr>
      <w:r>
        <w:rPr>
          <w:rFonts w:ascii="Times New Roman" w:hAnsi="Times New Roman"/>
          <w:lang w:val="uk-UA"/>
        </w:rPr>
        <w:t>Громада дотримується політики безбар’єрності:</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lang w:val="uk-UA"/>
        </w:rPr>
        <w:t>Забезпечено вільний доступ до будівель та укриттів.</w:t>
      </w:r>
    </w:p>
    <w:p>
      <w:pPr>
        <w:pStyle w:val="BodyText"/>
        <w:numPr>
          <w:ilvl w:val="0"/>
          <w:numId w:val="0"/>
        </w:numPr>
        <w:bidi w:val="0"/>
        <w:spacing w:lineRule="auto" w:line="240"/>
        <w:ind w:hanging="0" w:start="0"/>
        <w:jc w:val="both"/>
        <w:rPr>
          <w:rFonts w:ascii="Times New Roman" w:hAnsi="Times New Roman"/>
          <w:lang w:val="uk-UA"/>
        </w:rPr>
      </w:pPr>
      <w:r>
        <w:rPr>
          <w:rFonts w:ascii="Times New Roman" w:hAnsi="Times New Roman"/>
          <w:lang w:val="uk-UA"/>
        </w:rPr>
        <w:t xml:space="preserve">ЗЗСО спільно з консультантами </w:t>
      </w:r>
      <w:r>
        <w:rPr>
          <w:rFonts w:ascii="Times New Roman" w:hAnsi="Times New Roman"/>
          <w:lang w:val="uk-UA"/>
        </w:rPr>
        <w:t>Інклюзивно-ресурсн</w:t>
      </w:r>
      <w:r>
        <w:rPr>
          <w:rFonts w:ascii="Times New Roman" w:hAnsi="Times New Roman"/>
          <w:lang w:val="uk-UA"/>
        </w:rPr>
        <w:t>ого</w:t>
      </w:r>
      <w:r>
        <w:rPr>
          <w:rFonts w:ascii="Times New Roman" w:hAnsi="Times New Roman"/>
          <w:lang w:val="uk-UA"/>
        </w:rPr>
        <w:t xml:space="preserve"> центр</w:t>
      </w:r>
      <w:r>
        <w:rPr>
          <w:rFonts w:ascii="Times New Roman" w:hAnsi="Times New Roman"/>
          <w:lang w:val="uk-UA"/>
        </w:rPr>
        <w:t>у</w:t>
      </w:r>
      <w:r>
        <w:rPr>
          <w:rFonts w:ascii="Times New Roman" w:hAnsi="Times New Roman"/>
          <w:lang w:val="uk-UA"/>
        </w:rPr>
        <w:t xml:space="preserve"> забезпеч</w:t>
      </w:r>
      <w:r>
        <w:rPr>
          <w:rFonts w:ascii="Times New Roman" w:hAnsi="Times New Roman"/>
          <w:lang w:val="uk-UA"/>
        </w:rPr>
        <w:t>ували</w:t>
      </w:r>
      <w:r>
        <w:rPr>
          <w:rFonts w:ascii="Times New Roman" w:hAnsi="Times New Roman"/>
          <w:lang w:val="uk-UA"/>
        </w:rPr>
        <w:t xml:space="preserve"> повний супровід та надання корекційно-розвиткових послуг дітям з ООП.</w:t>
      </w:r>
    </w:p>
    <w:p>
      <w:pPr>
        <w:pStyle w:val="Heading4"/>
        <w:bidi w:val="0"/>
        <w:spacing w:lineRule="auto" w:line="240"/>
        <w:jc w:val="both"/>
        <w:rPr>
          <w:rFonts w:ascii="Times New Roman" w:hAnsi="Times New Roman"/>
          <w:b/>
          <w:lang w:val="uk-UA"/>
        </w:rPr>
      </w:pPr>
      <w:r>
        <w:rPr>
          <w:rFonts w:ascii="Times New Roman" w:hAnsi="Times New Roman"/>
          <w:b/>
          <w:lang w:val="uk-UA"/>
        </w:rPr>
        <w:t>6. Безпека та здоров’я</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lang w:val="uk-UA"/>
        </w:rPr>
        <w:t>100% закладів освіти забезпечені облаштованими сховищами, що відповідають вимогам ДСНС.</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lang w:val="uk-UA"/>
        </w:rPr>
        <w:t>Завершено модернізацію харчоблоків згідно з принципами НАССР. Оновлено технологічне обладнання.</w:t>
      </w:r>
    </w:p>
    <w:p>
      <w:pPr>
        <w:pStyle w:val="BodyText"/>
        <w:numPr>
          <w:ilvl w:val="0"/>
          <w:numId w:val="0"/>
        </w:numPr>
        <w:bidi w:val="0"/>
        <w:spacing w:lineRule="auto" w:line="240"/>
        <w:ind w:hanging="0" w:start="0"/>
        <w:jc w:val="both"/>
        <w:rPr>
          <w:rFonts w:ascii="Times New Roman" w:hAnsi="Times New Roman"/>
          <w:lang w:val="uk-UA"/>
        </w:rPr>
      </w:pPr>
      <w:r>
        <w:rPr>
          <w:rFonts w:ascii="Times New Roman" w:hAnsi="Times New Roman"/>
          <w:lang w:val="uk-UA"/>
        </w:rPr>
        <w:t>Організовано безперебійне безоплатне підвезення учнів та педагогів до місць навчання/роботи.</w:t>
      </w:r>
    </w:p>
    <w:p>
      <w:pPr>
        <w:pStyle w:val="Heading4"/>
        <w:bidi w:val="0"/>
        <w:spacing w:lineRule="auto" w:line="240"/>
        <w:jc w:val="both"/>
        <w:rPr>
          <w:rFonts w:ascii="Times New Roman" w:hAnsi="Times New Roman"/>
          <w:b/>
          <w:lang w:val="uk-UA"/>
        </w:rPr>
      </w:pPr>
      <w:r>
        <w:rPr>
          <w:rFonts w:ascii="Times New Roman" w:hAnsi="Times New Roman"/>
          <w:b/>
          <w:lang w:val="uk-UA"/>
        </w:rPr>
        <w:t>7. Кадрове забезпечення</w:t>
      </w:r>
    </w:p>
    <w:p>
      <w:pPr>
        <w:pStyle w:val="BodyText"/>
        <w:bidi w:val="0"/>
        <w:spacing w:lineRule="auto" w:line="240"/>
        <w:jc w:val="both"/>
        <w:rPr>
          <w:rFonts w:ascii="Times New Roman" w:hAnsi="Times New Roman"/>
          <w:lang w:val="uk-UA"/>
        </w:rPr>
      </w:pPr>
      <w:r>
        <w:rPr>
          <w:rFonts w:ascii="Times New Roman" w:hAnsi="Times New Roman"/>
          <w:lang w:val="uk-UA"/>
        </w:rPr>
        <w:t>Протягом 2025 року забезпечено належний методичний супровід:</w:t>
      </w:r>
    </w:p>
    <w:p>
      <w:pPr>
        <w:pStyle w:val="BodyText"/>
        <w:numPr>
          <w:ilvl w:val="0"/>
          <w:numId w:val="7"/>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Педагоги успішно пройшли курсову перепідготовку та сертифікацію.</w:t>
      </w:r>
    </w:p>
    <w:p>
      <w:pPr>
        <w:pStyle w:val="BodyText"/>
        <w:numPr>
          <w:ilvl w:val="0"/>
          <w:numId w:val="7"/>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Впроваджено інструменти супервізії для вчителів НУШ.</w:t>
      </w:r>
    </w:p>
    <w:p>
      <w:pPr>
        <w:pStyle w:val="BodyText"/>
        <w:numPr>
          <w:ilvl w:val="0"/>
          <w:numId w:val="7"/>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 xml:space="preserve">Представники громади брали участь у професійних конкурсах, </w:t>
      </w:r>
      <w:r>
        <w:rPr>
          <w:rFonts w:ascii="Times New Roman" w:hAnsi="Times New Roman"/>
          <w:lang w:val="uk-UA"/>
        </w:rPr>
        <w:t>зокрема</w:t>
      </w:r>
      <w:r>
        <w:rPr>
          <w:rFonts w:ascii="Times New Roman" w:hAnsi="Times New Roman"/>
          <w:lang w:val="uk-UA"/>
        </w:rPr>
        <w:t>«Учитель року» .</w:t>
      </w:r>
    </w:p>
    <w:p>
      <w:pPr>
        <w:pStyle w:val="BodyText"/>
        <w:numPr>
          <w:ilvl w:val="0"/>
          <w:numId w:val="7"/>
        </w:numPr>
        <w:tabs>
          <w:tab w:val="clear" w:pos="709"/>
          <w:tab w:val="left" w:pos="709" w:leader="none"/>
        </w:tabs>
        <w:bidi w:val="0"/>
        <w:spacing w:lineRule="auto" w:line="240"/>
        <w:ind w:hanging="283" w:start="709"/>
        <w:jc w:val="both"/>
        <w:rPr>
          <w:rFonts w:ascii="Times New Roman" w:hAnsi="Times New Roman"/>
          <w:lang w:val="uk-UA"/>
        </w:rPr>
      </w:pPr>
      <w:r>
        <w:rPr>
          <w:rFonts w:ascii="Times New Roman" w:hAnsi="Times New Roman"/>
          <w:b w:val="false"/>
          <w:bCs w:val="false"/>
          <w:lang w:val="uk-UA"/>
        </w:rPr>
        <w:t xml:space="preserve">Важливим досягненням року стало залучення до закладів освіти громади 4 молодих педагогів, </w:t>
      </w:r>
      <w:r>
        <w:rPr>
          <w:rFonts w:ascii="Times New Roman" w:hAnsi="Times New Roman"/>
          <w:lang w:val="uk-UA"/>
        </w:rPr>
        <w:t xml:space="preserve">що свідчить про оновлення колективів та інтерес молодих фахівців до роботи в громаді. </w:t>
      </w:r>
    </w:p>
    <w:p>
      <w:pPr>
        <w:pStyle w:val="Heading4"/>
        <w:bidi w:val="0"/>
        <w:spacing w:lineRule="auto" w:line="240"/>
        <w:jc w:val="both"/>
        <w:rPr>
          <w:rFonts w:ascii="Times New Roman" w:hAnsi="Times New Roman"/>
          <w:b/>
          <w:lang w:val="uk-UA"/>
        </w:rPr>
      </w:pPr>
      <w:r>
        <w:rPr>
          <w:rFonts w:ascii="Times New Roman" w:hAnsi="Times New Roman"/>
          <w:b/>
          <w:lang w:val="uk-UA"/>
        </w:rPr>
        <w:t>8. Діяльність закладів освіти (коротко)</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b/>
          <w:lang w:val="uk-UA"/>
        </w:rPr>
        <w:t xml:space="preserve">Смолінський ліцей №1. </w:t>
      </w:r>
      <w:r>
        <w:rPr>
          <w:rFonts w:ascii="Times New Roman" w:hAnsi="Times New Roman"/>
          <w:lang w:val="uk-UA"/>
        </w:rPr>
        <w:t>Впровадження НУШ (1-8 кл.), розвиток філологічного профілю, капітальний ремонт одного з укриттів.</w:t>
      </w:r>
    </w:p>
    <w:p>
      <w:pPr>
        <w:pStyle w:val="BodyText"/>
        <w:numPr>
          <w:ilvl w:val="0"/>
          <w:numId w:val="0"/>
        </w:numPr>
        <w:bidi w:val="0"/>
        <w:spacing w:lineRule="auto" w:line="240" w:before="0" w:after="0"/>
        <w:ind w:hanging="0" w:start="0"/>
        <w:jc w:val="both"/>
        <w:rPr>
          <w:rFonts w:ascii="Times New Roman" w:hAnsi="Times New Roman"/>
          <w:lang w:val="uk-UA"/>
        </w:rPr>
      </w:pPr>
      <w:r>
        <w:rPr>
          <w:rFonts w:ascii="Times New Roman" w:hAnsi="Times New Roman"/>
          <w:b/>
          <w:lang w:val="uk-UA"/>
        </w:rPr>
        <w:t xml:space="preserve">Смолінський ліцей №2. </w:t>
      </w:r>
      <w:r>
        <w:rPr>
          <w:rFonts w:ascii="Times New Roman" w:hAnsi="Times New Roman"/>
          <w:b w:val="false"/>
          <w:bCs w:val="false"/>
          <w:lang w:val="uk-UA"/>
        </w:rPr>
        <w:t>Створено освітній сучасний простір на базі закладу під функціонування академічного ліцею.</w:t>
      </w:r>
      <w:r>
        <w:rPr>
          <w:rFonts w:ascii="Times New Roman" w:hAnsi="Times New Roman"/>
          <w:b/>
          <w:lang w:val="uk-UA"/>
        </w:rPr>
        <w:t xml:space="preserve"> </w:t>
      </w:r>
      <w:r>
        <w:rPr>
          <w:rFonts w:ascii="Times New Roman" w:hAnsi="Times New Roman"/>
          <w:lang w:val="uk-UA"/>
        </w:rPr>
        <w:t>Повне впровадження НУШ (1-</w:t>
      </w:r>
      <w:r>
        <w:rPr>
          <w:rFonts w:ascii="Times New Roman" w:hAnsi="Times New Roman"/>
          <w:lang w:val="uk-UA"/>
        </w:rPr>
        <w:t>8 (10-12)</w:t>
      </w:r>
      <w:r>
        <w:rPr>
          <w:rFonts w:ascii="Times New Roman" w:hAnsi="Times New Roman"/>
          <w:lang w:val="uk-UA"/>
        </w:rPr>
        <w:t xml:space="preserve">кл.), широка мережа інклюзивних класів (22 учні з ООП), високі показники НМТ, </w:t>
      </w:r>
      <w:r>
        <w:rPr>
          <w:rFonts w:ascii="Times New Roman" w:hAnsi="Times New Roman"/>
          <w:lang w:val="uk-UA"/>
        </w:rPr>
        <w:t xml:space="preserve"> </w:t>
      </w:r>
      <w:r>
        <w:rPr>
          <w:rFonts w:ascii="Times New Roman" w:hAnsi="Times New Roman"/>
          <w:lang w:val="uk-UA"/>
        </w:rPr>
        <w:t>співпраця з благодійним фондом та реалізація проєкту на суму 271,600 тис.грн.</w:t>
      </w:r>
    </w:p>
    <w:p>
      <w:pPr>
        <w:pStyle w:val="BodyText"/>
        <w:numPr>
          <w:ilvl w:val="0"/>
          <w:numId w:val="0"/>
        </w:numPr>
        <w:bidi w:val="0"/>
        <w:spacing w:lineRule="auto" w:line="240"/>
        <w:ind w:hanging="0" w:start="0"/>
        <w:jc w:val="both"/>
        <w:rPr>
          <w:rFonts w:ascii="Times New Roman" w:hAnsi="Times New Roman"/>
          <w:lang w:val="uk-UA"/>
        </w:rPr>
      </w:pPr>
      <w:r>
        <w:rPr>
          <w:rFonts w:ascii="Times New Roman" w:hAnsi="Times New Roman"/>
          <w:b/>
          <w:lang w:val="uk-UA"/>
        </w:rPr>
        <w:t xml:space="preserve">Хмелівський ліцей. </w:t>
      </w:r>
      <w:r>
        <w:rPr>
          <w:rFonts w:ascii="Times New Roman" w:hAnsi="Times New Roman"/>
          <w:lang w:val="uk-UA"/>
        </w:rPr>
        <w:t>Природничий профіль навчання, успішна модернізація харчоблоку, активна участь у грантових освітніх проєктах.</w:t>
      </w:r>
    </w:p>
    <w:p>
      <w:pPr>
        <w:pStyle w:val="Heading4"/>
        <w:bidi w:val="0"/>
        <w:spacing w:lineRule="auto" w:line="240"/>
        <w:jc w:val="both"/>
        <w:rPr>
          <w:rFonts w:ascii="Times New Roman" w:hAnsi="Times New Roman"/>
          <w:b/>
          <w:lang w:val="uk-UA"/>
        </w:rPr>
      </w:pPr>
      <w:r>
        <w:rPr>
          <w:rFonts w:ascii="Times New Roman" w:hAnsi="Times New Roman"/>
          <w:b/>
          <w:lang w:val="uk-UA"/>
        </w:rPr>
        <w:t>9. Фінансове забезпечення</w:t>
      </w:r>
    </w:p>
    <w:p>
      <w:pPr>
        <w:pStyle w:val="BodyText"/>
        <w:bidi w:val="0"/>
        <w:spacing w:lineRule="auto" w:line="240"/>
        <w:jc w:val="both"/>
        <w:rPr>
          <w:rFonts w:ascii="Times New Roman" w:hAnsi="Times New Roman"/>
          <w:lang w:val="uk-UA"/>
        </w:rPr>
      </w:pPr>
      <w:r>
        <w:rPr>
          <w:rFonts w:ascii="Times New Roman" w:hAnsi="Times New Roman"/>
          <w:lang w:val="uk-UA"/>
        </w:rPr>
        <w:t>Фінансування Програми у 2025 році здійснювалося за рахунок коштів бюджету Смолінської селищної ради, державної освітньої субвенції та позабюджетних надходжень.</w:t>
      </w:r>
    </w:p>
    <w:p>
      <w:pPr>
        <w:pStyle w:val="BodyText"/>
        <w:bidi w:val="0"/>
        <w:spacing w:lineRule="auto" w:line="240"/>
        <w:jc w:val="both"/>
        <w:rPr>
          <w:rFonts w:ascii="Times New Roman" w:hAnsi="Times New Roman"/>
          <w:b w:val="false"/>
          <w:bCs w:val="false"/>
          <w:i/>
          <w:i/>
          <w:iCs/>
          <w:lang w:val="uk-UA"/>
        </w:rPr>
      </w:pPr>
      <w:r>
        <w:rPr>
          <w:rFonts w:ascii="Times New Roman" w:hAnsi="Times New Roman"/>
          <w:b w:val="false"/>
          <w:bCs w:val="false"/>
          <w:i/>
          <w:iCs/>
          <w:lang w:val="uk-UA"/>
        </w:rPr>
        <w:t xml:space="preserve"> </w:t>
      </w:r>
      <w:r>
        <w:rPr>
          <w:rFonts w:ascii="Times New Roman" w:hAnsi="Times New Roman"/>
          <w:b w:val="false"/>
          <w:bCs w:val="false"/>
          <w:i/>
          <w:iCs/>
          <w:lang w:val="uk-UA"/>
        </w:rPr>
        <w:t>Пріоритети витрат:</w:t>
      </w:r>
    </w:p>
    <w:p>
      <w:pPr>
        <w:pStyle w:val="BodyText"/>
        <w:numPr>
          <w:ilvl w:val="0"/>
          <w:numId w:val="9"/>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Зміцнення матеріальної бази та ІКТ.</w:t>
      </w:r>
    </w:p>
    <w:p>
      <w:pPr>
        <w:pStyle w:val="BodyText"/>
        <w:numPr>
          <w:ilvl w:val="0"/>
          <w:numId w:val="9"/>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Створення безпечних умов (ремонт укриттів).</w:t>
      </w:r>
    </w:p>
    <w:p>
      <w:pPr>
        <w:pStyle w:val="BodyText"/>
        <w:numPr>
          <w:ilvl w:val="0"/>
          <w:numId w:val="9"/>
        </w:numPr>
        <w:tabs>
          <w:tab w:val="clear" w:pos="709"/>
          <w:tab w:val="left" w:pos="709" w:leader="none"/>
        </w:tabs>
        <w:bidi w:val="0"/>
        <w:spacing w:lineRule="auto" w:line="240" w:before="0" w:after="0"/>
        <w:ind w:hanging="283" w:start="709"/>
        <w:jc w:val="both"/>
        <w:rPr>
          <w:rFonts w:ascii="Times New Roman" w:hAnsi="Times New Roman"/>
          <w:lang w:val="uk-UA"/>
        </w:rPr>
      </w:pPr>
      <w:r>
        <w:rPr>
          <w:rFonts w:ascii="Times New Roman" w:hAnsi="Times New Roman"/>
          <w:lang w:val="uk-UA"/>
        </w:rPr>
        <w:t>Підтримка обдарованих дітей та розвиток позашкілля.</w:t>
      </w:r>
    </w:p>
    <w:p>
      <w:pPr>
        <w:pStyle w:val="Heading4"/>
        <w:bidi w:val="0"/>
        <w:spacing w:lineRule="auto" w:line="240"/>
        <w:jc w:val="both"/>
        <w:rPr>
          <w:rFonts w:ascii="Times New Roman" w:hAnsi="Times New Roman"/>
          <w:b/>
          <w:lang w:val="uk-UA"/>
        </w:rPr>
      </w:pPr>
      <w:r>
        <w:rPr>
          <w:rFonts w:ascii="Times New Roman" w:hAnsi="Times New Roman"/>
          <w:b/>
          <w:lang w:val="uk-UA"/>
        </w:rPr>
        <w:t>10. Висновки</w:t>
      </w:r>
    </w:p>
    <w:p>
      <w:pPr>
        <w:pStyle w:val="BodyText"/>
        <w:bidi w:val="0"/>
        <w:spacing w:lineRule="auto" w:line="240" w:before="0" w:after="0"/>
        <w:jc w:val="both"/>
        <w:rPr>
          <w:rFonts w:ascii="Times New Roman" w:hAnsi="Times New Roman"/>
          <w:b w:val="false"/>
          <w:bCs w:val="false"/>
          <w:lang w:val="uk-UA"/>
        </w:rPr>
      </w:pPr>
      <w:r>
        <w:rPr>
          <w:rFonts w:ascii="Times New Roman" w:hAnsi="Times New Roman"/>
          <w:b w:val="false"/>
          <w:bCs w:val="false"/>
          <w:lang w:val="uk-UA"/>
        </w:rPr>
        <w:t>За підсумками 2025 року та всього п’ятирічного циклу реалізації Комплексної програми розвитку освіти Смолінської селищної територіальної громади на 2021–2025 роки, можна констатувати успішне виконання визначених стратегічних цілей. Попри виклики воєнного стану, освітня галузь громади не лише зберегла стабільність, а й продемонструвала якісний розвиток.</w:t>
      </w:r>
    </w:p>
    <w:p>
      <w:pPr>
        <w:pStyle w:val="BodyText"/>
        <w:bidi w:val="0"/>
        <w:spacing w:lineRule="auto" w:line="240"/>
        <w:jc w:val="start"/>
        <w:rPr>
          <w:rFonts w:ascii="Times New Roman" w:hAnsi="Times New Roman"/>
          <w:b w:val="false"/>
          <w:bCs w:val="false"/>
          <w:i/>
          <w:i/>
          <w:iCs/>
          <w:lang w:val="uk-UA"/>
        </w:rPr>
      </w:pPr>
      <w:r>
        <w:rPr>
          <w:rFonts w:ascii="Times New Roman" w:hAnsi="Times New Roman"/>
          <w:b w:val="false"/>
          <w:bCs w:val="false"/>
          <w:i/>
          <w:iCs/>
          <w:lang w:val="uk-UA"/>
        </w:rPr>
        <w:t>Ключові досягнення та стратегічний вплив:</w:t>
      </w:r>
    </w:p>
    <w:p>
      <w:pPr>
        <w:pStyle w:val="BodyText"/>
        <w:bidi w:val="0"/>
        <w:spacing w:lineRule="auto" w:line="240" w:before="0" w:after="0"/>
        <w:jc w:val="both"/>
        <w:rPr>
          <w:rFonts w:ascii="Times New Roman" w:hAnsi="Times New Roman"/>
          <w:lang w:val="uk-UA"/>
        </w:rPr>
      </w:pPr>
      <w:r>
        <w:rPr>
          <w:rFonts w:ascii="Times New Roman" w:hAnsi="Times New Roman"/>
          <w:lang w:val="uk-UA"/>
        </w:rPr>
        <w:t>Громада досягла 100% показника забезпечення закладів освіти сучасними укриттями та модернізованими харчоблоками (за стандартами НАССР). Це дозволило відновити повноцінний очний освітній процес, що є критично важливим для соціалізації дітей та якості знань.</w:t>
      </w:r>
    </w:p>
    <w:p>
      <w:pPr>
        <w:pStyle w:val="BodyText"/>
        <w:bidi w:val="0"/>
        <w:spacing w:lineRule="auto" w:line="240" w:before="0" w:after="0"/>
        <w:jc w:val="both"/>
        <w:rPr>
          <w:rFonts w:ascii="Times New Roman" w:hAnsi="Times New Roman"/>
          <w:lang w:val="uk-UA"/>
        </w:rPr>
      </w:pPr>
      <w:r>
        <w:rPr>
          <w:rFonts w:ascii="Times New Roman" w:hAnsi="Times New Roman"/>
          <w:lang w:val="uk-UA"/>
        </w:rPr>
        <w:t>Успішне впровадження стандартів НУШ у базовій школі та створення STEM-лабораторій заклали фундамент для формування конкурентоспроможного випускника. Високі результати НМТ та успіхи учнів у конкурсах МАН підтверджують ефективність обраної моделі профілізації (філологічний, природничий та історичний напрями).</w:t>
      </w:r>
    </w:p>
    <w:p>
      <w:pPr>
        <w:pStyle w:val="BodyText"/>
        <w:bidi w:val="0"/>
        <w:spacing w:lineRule="auto" w:line="240" w:before="0" w:after="0"/>
        <w:jc w:val="both"/>
        <w:rPr>
          <w:rFonts w:ascii="Times New Roman" w:hAnsi="Times New Roman"/>
          <w:lang w:val="uk-UA"/>
        </w:rPr>
      </w:pPr>
      <w:r>
        <w:rPr>
          <w:rFonts w:ascii="Times New Roman" w:hAnsi="Times New Roman"/>
          <w:lang w:val="uk-UA"/>
        </w:rPr>
        <w:t>Розширення мережі інклюзивних груп та класів (зокрема, успішний досвід Смолінського ліцею №2) свідчить про реальне впровадження політики безбар’єрності та забезпечення конституційного права на освіту для кожної дитини в межах громади.</w:t>
      </w:r>
    </w:p>
    <w:p>
      <w:pPr>
        <w:pStyle w:val="BodyText"/>
        <w:bidi w:val="0"/>
        <w:spacing w:lineRule="auto" w:line="240" w:before="0" w:after="0"/>
        <w:jc w:val="both"/>
        <w:rPr>
          <w:rFonts w:ascii="Times New Roman" w:hAnsi="Times New Roman"/>
          <w:lang w:val="uk-UA"/>
        </w:rPr>
      </w:pPr>
      <w:r>
        <w:rPr>
          <w:rFonts w:ascii="Times New Roman" w:hAnsi="Times New Roman"/>
          <w:lang w:val="uk-UA"/>
        </w:rPr>
        <w:t>Залучення молодих спеціалістів та успішна сертифікація досвідчених педагогів вказують на високий рівень кадрового менеджменту. Громада створила привабливе середовище для професійного розвитку вчителів.</w:t>
      </w:r>
    </w:p>
    <w:p>
      <w:pPr>
        <w:pStyle w:val="BodyText"/>
        <w:bidi w:val="0"/>
        <w:spacing w:lineRule="auto" w:line="240" w:before="0" w:after="0"/>
        <w:jc w:val="both"/>
        <w:rPr>
          <w:rFonts w:ascii="Times New Roman" w:hAnsi="Times New Roman"/>
          <w:lang w:val="uk-UA"/>
        </w:rPr>
      </w:pPr>
      <w:r>
        <w:rPr>
          <w:rFonts w:ascii="Times New Roman" w:hAnsi="Times New Roman"/>
          <w:lang w:val="uk-UA"/>
        </w:rPr>
        <w:t xml:space="preserve">Поєднання бюджетних асигнувань з активним залученням позабюджетних коштів та грантів дозволило значно оновити матеріально-технічну базу (автобусний парк, спортивні майданчики, </w:t>
      </w:r>
      <w:r>
        <w:rPr>
          <w:rFonts w:ascii="Times New Roman" w:hAnsi="Times New Roman"/>
          <w:lang w:val="uk-UA"/>
        </w:rPr>
        <w:t xml:space="preserve">спортивний інвентар, </w:t>
      </w:r>
      <w:r>
        <w:rPr>
          <w:rFonts w:ascii="Times New Roman" w:hAnsi="Times New Roman"/>
          <w:lang w:val="uk-UA"/>
        </w:rPr>
        <w:t>IT-інфраструктура) понад базові нормативи.</w:t>
      </w:r>
    </w:p>
    <w:p>
      <w:pPr>
        <w:pStyle w:val="BodyText"/>
        <w:bidi w:val="0"/>
        <w:spacing w:lineRule="auto" w:line="240"/>
        <w:jc w:val="both"/>
        <w:rPr>
          <w:rFonts w:ascii="Times New Roman" w:hAnsi="Times New Roman"/>
          <w:lang w:val="uk-UA"/>
        </w:rPr>
      </w:pPr>
      <w:r>
        <w:rPr>
          <w:rFonts w:ascii="Times New Roman" w:hAnsi="Times New Roman"/>
          <w:lang w:val="uk-UA"/>
        </w:rPr>
        <w:t>Програм</w:t>
      </w:r>
      <w:r>
        <w:rPr>
          <w:rFonts w:ascii="Times New Roman" w:hAnsi="Times New Roman"/>
          <w:lang w:val="uk-UA"/>
        </w:rPr>
        <w:t>а</w:t>
      </w:r>
      <w:r>
        <w:rPr>
          <w:rFonts w:ascii="Times New Roman" w:hAnsi="Times New Roman"/>
          <w:lang w:val="uk-UA"/>
        </w:rPr>
        <w:t xml:space="preserve"> довела, що освіта є пріоритетним вектором розвитку Смолінської громади. Створена база — від безпечного простору до цифровізованих класів — є надійним підґрунтям для переходу до наступного стратегічного етапу розвитку на 2026–2030 роки, орієнтованого на подальшу євроінтеграцію освітніх стандартів та розвиток академічної автономії закладів.</w:t>
      </w:r>
    </w:p>
    <w:p>
      <w:pPr>
        <w:pStyle w:val="BodyText"/>
        <w:bidi w:val="0"/>
        <w:spacing w:lineRule="auto" w:line="240" w:before="0" w:after="0"/>
        <w:jc w:val="both"/>
        <w:rPr>
          <w:rFonts w:ascii="Times New Roman" w:hAnsi="Times New Roman"/>
          <w:b/>
          <w:bCs/>
          <w:lang w:val="uk-UA"/>
        </w:rPr>
      </w:pPr>
      <w:r>
        <w:rPr>
          <w:rFonts w:ascii="Times New Roman" w:hAnsi="Times New Roman"/>
          <w:b/>
          <w:bCs/>
          <w:lang w:val="uk-UA"/>
        </w:rPr>
      </w:r>
    </w:p>
    <w:sectPr>
      <w:type w:val="nextPage"/>
      <w:pgSz w:w="11906" w:h="16838"/>
      <w:pgMar w:left="1638" w:right="793"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02"/>
    <w:family w:val="auto"/>
    <w:pitch w:val="default"/>
  </w:font>
  <w:font w:name="Liberation Sans">
    <w:altName w:val="Arial"/>
    <w:charset w:val="cc" w:characterSet="windows-1251"/>
    <w:family w:val="swiss"/>
    <w:pitch w:val="variable"/>
  </w:font>
  <w:font w:name="Times New Roman">
    <w:charset w:val="cc" w:characterSet="windows-125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ru-RU" w:eastAsia="zh-CN" w:bidi="hi-IN"/>
    </w:rPr>
  </w:style>
  <w:style w:type="paragraph" w:styleId="Heading1">
    <w:name w:val="heading 1"/>
    <w:basedOn w:val="Style12"/>
    <w:next w:val="BodyText"/>
    <w:qFormat/>
    <w:pPr>
      <w:numPr>
        <w:ilvl w:val="0"/>
        <w:numId w:val="0"/>
      </w:numPr>
      <w:spacing w:before="240" w:after="120"/>
      <w:outlineLvl w:val="0"/>
    </w:pPr>
    <w:rPr>
      <w:rFonts w:ascii="Liberation Serif" w:hAnsi="Liberation Serif" w:eastAsia="NSimSun" w:cs="Arial"/>
      <w:b/>
      <w:bCs/>
      <w:sz w:val="48"/>
      <w:szCs w:val="48"/>
    </w:rPr>
  </w:style>
  <w:style w:type="paragraph" w:styleId="Heading2">
    <w:name w:val="heading 2"/>
    <w:basedOn w:val="Style12"/>
    <w:next w:val="BodyText"/>
    <w:qFormat/>
    <w:pPr>
      <w:numPr>
        <w:ilvl w:val="0"/>
        <w:numId w:val="0"/>
      </w:numPr>
      <w:spacing w:before="200" w:after="120"/>
      <w:outlineLvl w:val="1"/>
    </w:pPr>
    <w:rPr>
      <w:rFonts w:ascii="Liberation Serif" w:hAnsi="Liberation Serif" w:eastAsia="NSimSun" w:cs="Arial"/>
      <w:b/>
      <w:bCs/>
      <w:sz w:val="36"/>
      <w:szCs w:val="36"/>
    </w:rPr>
  </w:style>
  <w:style w:type="paragraph" w:styleId="Heading3">
    <w:name w:val="heading 3"/>
    <w:basedOn w:val="Style12"/>
    <w:next w:val="BodyText"/>
    <w:qFormat/>
    <w:pPr>
      <w:numPr>
        <w:ilvl w:val="0"/>
        <w:numId w:val="0"/>
      </w:numPr>
      <w:spacing w:before="140" w:after="120"/>
      <w:outlineLvl w:val="2"/>
    </w:pPr>
    <w:rPr>
      <w:rFonts w:ascii="Liberation Serif" w:hAnsi="Liberation Serif" w:eastAsia="NSimSun" w:cs="Arial"/>
      <w:b/>
      <w:bCs/>
      <w:sz w:val="28"/>
      <w:szCs w:val="28"/>
    </w:rPr>
  </w:style>
  <w:style w:type="paragraph" w:styleId="Heading4">
    <w:name w:val="heading 4"/>
    <w:basedOn w:val="Style12"/>
    <w:next w:val="BodyText"/>
    <w:qFormat/>
    <w:pPr>
      <w:numPr>
        <w:ilvl w:val="0"/>
        <w:numId w:val="0"/>
      </w:numPr>
      <w:spacing w:before="120" w:after="120"/>
      <w:outlineLvl w:val="3"/>
    </w:pPr>
    <w:rPr>
      <w:rFonts w:ascii="Liberation Serif" w:hAnsi="Liberation Serif" w:eastAsia="NSimSun" w:cs="Arial"/>
      <w:b/>
      <w:bCs/>
      <w:sz w:val="24"/>
      <w:szCs w:val="24"/>
    </w:rPr>
  </w:style>
  <w:style w:type="character" w:styleId="Style10">
    <w:name w:val="Маркери"/>
    <w:qFormat/>
    <w:rPr>
      <w:rFonts w:ascii="OpenSymbol" w:hAnsi="OpenSymbol" w:eastAsia="OpenSymbol" w:cs="OpenSymbol"/>
    </w:rPr>
  </w:style>
  <w:style w:type="character" w:styleId="Strong">
    <w:name w:val="Strong"/>
    <w:qFormat/>
    <w:rPr>
      <w:b/>
      <w:bCs/>
    </w:rPr>
  </w:style>
  <w:style w:type="character" w:styleId="Style11">
    <w:name w:val="Символ нумерації"/>
    <w:qFormat/>
    <w:rPr/>
  </w:style>
  <w:style w:type="character" w:styleId="Emphasis">
    <w:name w:val="Emphasis"/>
    <w:qFormat/>
    <w:rPr>
      <w:i/>
      <w:iCs/>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Style14">
    <w:name w:val="Вміст таблиці"/>
    <w:basedOn w:val="Normal"/>
    <w:qFormat/>
    <w:pPr>
      <w:widowControl w:val="false"/>
      <w:suppressLineNumbers/>
    </w:pPr>
    <w:rPr/>
  </w:style>
  <w:style w:type="paragraph" w:styleId="Style15">
    <w:name w:val="Заголовок таблиці"/>
    <w:basedOn w:val="Style14"/>
    <w:qFormat/>
    <w:pPr>
      <w:suppressLineNumbers/>
      <w:jc w:val="center"/>
    </w:pPr>
    <w:rPr>
      <w:b/>
      <w:bCs/>
    </w:rPr>
  </w:style>
  <w:style w:type="paragraph" w:styleId="Style16">
    <w:name w:val="Горизонтальна лінія"/>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127</TotalTime>
  <Application>LibreOffice/25.2.7.2$Windows_X86_64 LibreOffice_project/5cbfd1ab6520636bb5f7b99185aa69bd7456825d</Application>
  <AppVersion>15.0000</AppVersion>
  <Pages>3</Pages>
  <Words>914</Words>
  <Characters>6476</Characters>
  <CharactersWithSpaces>7292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2026-02-25T13:11:21Z</dcterms:created>
  <dc:creator/>
  <dc:description/>
  <dc:language>uk-UA</dc:language>
  <cp:lastModifiedBy/>
  <dcterms:modified xsi:type="dcterms:W3CDTF">2026-02-26T09:00:03Z</dcterms:modified>
  <cp:revision>58</cp:revision>
  <dc:subject/>
  <dc:title/>
</cp:coreProperties>
</file>